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EA" w:rsidRDefault="007959EA" w:rsidP="007959EA">
      <w:pPr>
        <w:spacing w:line="586" w:lineRule="exact"/>
        <w:jc w:val="left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附件：</w:t>
      </w:r>
    </w:p>
    <w:p w:rsidR="007959EA" w:rsidRDefault="007959EA" w:rsidP="007959EA">
      <w:pPr>
        <w:spacing w:afterLines="50" w:after="156" w:line="586" w:lineRule="exact"/>
        <w:jc w:val="center"/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2024年杭州市桐庐县事业单位紧缺实用人才和国有企业</w:t>
      </w:r>
      <w:proofErr w:type="gramStart"/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特</w:t>
      </w:r>
      <w:proofErr w:type="gramEnd"/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岗人才引进计划表</w:t>
      </w:r>
    </w:p>
    <w:tbl>
      <w:tblPr>
        <w:tblW w:w="98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295"/>
        <w:gridCol w:w="2721"/>
        <w:gridCol w:w="795"/>
        <w:gridCol w:w="1499"/>
        <w:gridCol w:w="2864"/>
      </w:tblGrid>
      <w:tr w:rsidR="007959EA" w:rsidTr="0036490F">
        <w:trPr>
          <w:trHeight w:val="612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Pr="003C2B22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岗位序号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Pr="003C2B22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专业类别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引进</w:t>
            </w:r>
          </w:p>
          <w:p w:rsidR="007959EA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黑体" w:eastAsia="黑体" w:hAnsi="宋体" w:cs="黑体" w:hint="eastAsia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人数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引进类别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面向院校</w:t>
            </w:r>
          </w:p>
        </w:tc>
      </w:tr>
      <w:tr w:rsidR="007959EA" w:rsidTr="0036490F">
        <w:trPr>
          <w:trHeight w:val="618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Pr="001100CC" w:rsidRDefault="007959EA" w:rsidP="0036490F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  <w:r w:rsidRPr="001100C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资源测绘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 w:rsidRPr="0039336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地理学类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事业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9EA" w:rsidRDefault="007959EA" w:rsidP="0036490F">
            <w:pPr>
              <w:spacing w:line="270" w:lineRule="exact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国内知名高校：</w:t>
            </w:r>
            <w:r>
              <w:rPr>
                <w:rFonts w:ascii="Times New Roman" w:eastAsia="仿宋_GB2312" w:hAnsi="Times New Roman" w:hint="eastAsia"/>
                <w:sz w:val="24"/>
              </w:rPr>
      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等。</w:t>
            </w:r>
          </w:p>
          <w:p w:rsidR="007959EA" w:rsidRDefault="007959EA" w:rsidP="0036490F">
            <w:pPr>
              <w:spacing w:line="27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国外知名高校：</w:t>
            </w:r>
            <w:r>
              <w:rPr>
                <w:rFonts w:ascii="Times New Roman" w:eastAsia="仿宋_GB2312" w:hAnsi="Times New Roman"/>
                <w:sz w:val="24"/>
              </w:rPr>
              <w:t>QS</w:t>
            </w:r>
            <w:r>
              <w:rPr>
                <w:rFonts w:ascii="Times New Roman" w:eastAsia="仿宋_GB2312" w:hAnsi="Times New Roman" w:hint="eastAsia"/>
                <w:sz w:val="24"/>
              </w:rPr>
              <w:t>世界大学排名前</w:t>
            </w:r>
            <w:r>
              <w:rPr>
                <w:rFonts w:ascii="Times New Roman" w:eastAsia="仿宋_GB2312" w:hAnsi="Times New Roman"/>
                <w:sz w:val="24"/>
              </w:rPr>
              <w:t>100</w:t>
            </w:r>
            <w:r>
              <w:rPr>
                <w:rFonts w:ascii="Times New Roman" w:eastAsia="仿宋_GB2312" w:hAnsi="Times New Roman" w:hint="eastAsia"/>
                <w:sz w:val="24"/>
              </w:rPr>
              <w:t>位的世界名校。</w:t>
            </w:r>
          </w:p>
          <w:p w:rsidR="007959EA" w:rsidRDefault="007959EA" w:rsidP="0036490F">
            <w:pPr>
              <w:widowControl/>
              <w:spacing w:line="270" w:lineRule="exact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包括但不限于以上高校。</w:t>
            </w:r>
          </w:p>
        </w:tc>
      </w:tr>
      <w:tr w:rsidR="007959EA" w:rsidTr="0036490F">
        <w:trPr>
          <w:trHeight w:val="60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Pr="001100CC" w:rsidRDefault="007959EA" w:rsidP="0036490F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  <w:r w:rsidRPr="001100C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城乡建设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textAlignment w:val="center"/>
              <w:rPr>
                <w:rFonts w:hAnsi="仿宋_GB2312"/>
                <w:kern w:val="0"/>
              </w:rPr>
            </w:pPr>
            <w:r w:rsidRPr="00D652A2">
              <w:rPr>
                <w:rStyle w:val="font11"/>
                <w:rFonts w:hAnsi="宋体" w:hint="default"/>
                <w:b w:val="0"/>
                <w:bCs w:val="0"/>
                <w:sz w:val="24"/>
                <w:lang w:bidi="ar"/>
              </w:rPr>
              <w:t>建筑学类、土木工程类、城乡</w:t>
            </w:r>
            <w:proofErr w:type="gramStart"/>
            <w:r w:rsidRPr="00D652A2">
              <w:rPr>
                <w:rStyle w:val="font11"/>
                <w:rFonts w:hAnsi="宋体" w:hint="default"/>
                <w:b w:val="0"/>
                <w:bCs w:val="0"/>
                <w:sz w:val="24"/>
                <w:lang w:bidi="ar"/>
              </w:rPr>
              <w:t>规划</w:t>
            </w:r>
            <w:r>
              <w:rPr>
                <w:rStyle w:val="font11"/>
                <w:rFonts w:hAnsi="宋体" w:hint="default"/>
                <w:b w:val="0"/>
                <w:bCs w:val="0"/>
                <w:sz w:val="24"/>
                <w:lang w:bidi="ar"/>
              </w:rPr>
              <w:t>学</w:t>
            </w:r>
            <w:r w:rsidRPr="00D652A2">
              <w:rPr>
                <w:rStyle w:val="font11"/>
                <w:rFonts w:hAnsi="宋体" w:hint="default"/>
                <w:b w:val="0"/>
                <w:bCs w:val="0"/>
                <w:sz w:val="24"/>
                <w:lang w:bidi="ar"/>
              </w:rPr>
              <w:t>类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spacing w:line="27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事业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9EA" w:rsidRDefault="007959EA" w:rsidP="0036490F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</w:p>
        </w:tc>
      </w:tr>
      <w:tr w:rsidR="007959EA" w:rsidTr="0036490F">
        <w:trPr>
          <w:trHeight w:val="884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Pr="001100CC" w:rsidRDefault="007959EA" w:rsidP="0036490F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  <w:r w:rsidRPr="001100C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农业技术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 w:rsidRPr="00B71E1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作物学类、园艺学类、农业资源与环境类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spacing w:line="27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事业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9EA" w:rsidRDefault="007959EA" w:rsidP="0036490F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</w:p>
        </w:tc>
      </w:tr>
      <w:tr w:rsidR="007959EA" w:rsidTr="0036490F">
        <w:trPr>
          <w:trHeight w:val="428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Pr="001100CC" w:rsidRDefault="007959EA" w:rsidP="0036490F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综合文字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textAlignment w:val="center"/>
              <w:rPr>
                <w:rFonts w:hAnsi="仿宋_GB2312"/>
                <w:kern w:val="0"/>
              </w:rPr>
            </w:pPr>
            <w:r w:rsidRPr="00703CC1">
              <w:rPr>
                <w:rStyle w:val="font11"/>
                <w:rFonts w:hAnsi="宋体" w:hint="default"/>
                <w:b w:val="0"/>
                <w:bCs w:val="0"/>
                <w:sz w:val="24"/>
                <w:lang w:bidi="ar"/>
              </w:rPr>
              <w:t>中国语言文学类、新闻传播学类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spacing w:line="27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事业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9EA" w:rsidRDefault="007959EA" w:rsidP="0036490F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</w:p>
        </w:tc>
      </w:tr>
      <w:tr w:rsidR="007959EA" w:rsidTr="0036490F">
        <w:trPr>
          <w:trHeight w:val="604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Pr="001100CC" w:rsidRDefault="007959EA" w:rsidP="0036490F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  <w:r w:rsidRPr="001100C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食品化学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 w:rsidRPr="004E74D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食品科学与工程类、化学类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spacing w:line="27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事业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9EA" w:rsidRDefault="007959EA" w:rsidP="0036490F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</w:p>
        </w:tc>
      </w:tr>
      <w:tr w:rsidR="007959EA" w:rsidTr="0036490F">
        <w:trPr>
          <w:trHeight w:val="856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Pr="001100CC" w:rsidRDefault="007959EA" w:rsidP="0036490F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  <w:r w:rsidRPr="001100C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综合管理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textAlignment w:val="center"/>
              <w:rPr>
                <w:rFonts w:hAnsi="仿宋_GB2312"/>
                <w:kern w:val="0"/>
              </w:rPr>
            </w:pPr>
            <w:r w:rsidRPr="00A54DD3">
              <w:rPr>
                <w:rStyle w:val="font11"/>
                <w:rFonts w:hAnsi="宋体" w:hint="default"/>
                <w:b w:val="0"/>
                <w:bCs w:val="0"/>
                <w:sz w:val="24"/>
                <w:lang w:bidi="ar"/>
              </w:rPr>
              <w:t>管理科学与工程类、计算机科学与技术类、机械工程类、应用经济学类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spacing w:line="27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事业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9EA" w:rsidRDefault="007959EA" w:rsidP="0036490F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</w:p>
        </w:tc>
      </w:tr>
      <w:tr w:rsidR="007959EA" w:rsidTr="0036490F">
        <w:trPr>
          <w:trHeight w:val="60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Pr="001100CC" w:rsidRDefault="007959EA" w:rsidP="0036490F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高中历史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textAlignment w:val="center"/>
              <w:rPr>
                <w:rStyle w:val="font11"/>
                <w:rFonts w:hAnsi="宋体" w:hint="default"/>
                <w:b w:val="0"/>
                <w:bCs w:val="0"/>
                <w:sz w:val="24"/>
                <w:lang w:bidi="ar"/>
              </w:rPr>
            </w:pPr>
            <w:r w:rsidRPr="00F85D72">
              <w:rPr>
                <w:rStyle w:val="font11"/>
                <w:rFonts w:hAnsi="宋体" w:hint="default"/>
                <w:b w:val="0"/>
                <w:bCs w:val="0"/>
                <w:sz w:val="24"/>
                <w:lang w:bidi="ar"/>
              </w:rPr>
              <w:t>教育学类、中国史类、世界史类</w:t>
            </w:r>
          </w:p>
          <w:p w:rsidR="007959EA" w:rsidRDefault="007959EA" w:rsidP="0036490F">
            <w:pPr>
              <w:widowControl/>
              <w:textAlignment w:val="center"/>
              <w:rPr>
                <w:rFonts w:hAnsi="仿宋_GB2312"/>
                <w:kern w:val="0"/>
              </w:rPr>
            </w:pPr>
            <w:r w:rsidRPr="00F85D72">
              <w:rPr>
                <w:rStyle w:val="font11"/>
                <w:rFonts w:hAnsi="宋体" w:hint="default"/>
                <w:b w:val="0"/>
                <w:bCs w:val="0"/>
                <w:sz w:val="24"/>
                <w:lang w:bidi="ar"/>
              </w:rPr>
              <w:t>（须持有高中历史教师资格证）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spacing w:line="270" w:lineRule="exac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事业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9EA" w:rsidRDefault="007959EA" w:rsidP="0036490F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</w:p>
        </w:tc>
      </w:tr>
      <w:tr w:rsidR="007959EA" w:rsidTr="0036490F">
        <w:trPr>
          <w:trHeight w:val="577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Pr="001100CC" w:rsidRDefault="007959EA" w:rsidP="0036490F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  <w:r w:rsidRPr="008B1F9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财务管理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工商管理类（</w:t>
            </w:r>
            <w:r w:rsidRPr="00BE15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会计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、会计学、</w:t>
            </w:r>
            <w:r w:rsidRPr="00BE151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审计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、审计学）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国企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9EA" w:rsidRDefault="007959EA" w:rsidP="0036490F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</w:p>
        </w:tc>
      </w:tr>
      <w:tr w:rsidR="007959EA" w:rsidTr="0036490F">
        <w:trPr>
          <w:trHeight w:val="694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9EA" w:rsidRPr="001100CC" w:rsidRDefault="007959EA" w:rsidP="0036490F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  <w:r w:rsidRPr="001100C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文字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textAlignment w:val="center"/>
              <w:rPr>
                <w:rFonts w:hAnsi="仿宋_GB2312"/>
                <w:kern w:val="0"/>
              </w:rPr>
            </w:pPr>
            <w:r w:rsidRPr="00981CA6">
              <w:rPr>
                <w:rStyle w:val="font11"/>
                <w:rFonts w:hAnsi="宋体" w:hint="default"/>
                <w:b w:val="0"/>
                <w:bCs w:val="0"/>
                <w:sz w:val="24"/>
                <w:lang w:bidi="ar"/>
              </w:rPr>
              <w:t>中国语言文学类、新闻传播学类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59EA" w:rsidRDefault="007959EA" w:rsidP="0036490F">
            <w:pPr>
              <w:widowControl/>
              <w:spacing w:line="270" w:lineRule="exac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国企</w:t>
            </w: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9EA" w:rsidRDefault="007959EA" w:rsidP="0036490F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bidi="ar"/>
              </w:rPr>
            </w:pPr>
          </w:p>
        </w:tc>
      </w:tr>
    </w:tbl>
    <w:p w:rsidR="007959EA" w:rsidRDefault="007959EA" w:rsidP="007959EA">
      <w:pPr>
        <w:spacing w:line="560" w:lineRule="exact"/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</w:pPr>
    </w:p>
    <w:p w:rsidR="0020177D" w:rsidRDefault="0020177D">
      <w:bookmarkStart w:id="0" w:name="_GoBack"/>
      <w:bookmarkEnd w:id="0"/>
    </w:p>
    <w:sectPr w:rsidR="0020177D">
      <w:footerReference w:type="even" r:id="rId4"/>
      <w:footerReference w:type="default" r:id="rId5"/>
      <w:pgSz w:w="11906" w:h="16838"/>
      <w:pgMar w:top="1985" w:right="1701" w:bottom="1701" w:left="1701" w:header="851" w:footer="1418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59EA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7959E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959EA">
    <w:pPr>
      <w:pStyle w:val="a3"/>
      <w:framePr w:wrap="around" w:vAnchor="text" w:hAnchor="margin" w:xAlign="outside" w:y="1"/>
      <w:rPr>
        <w:rStyle w:val="a5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a5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a5"/>
        <w:rFonts w:ascii="宋体" w:hAnsi="宋体"/>
        <w:noProof/>
        <w:sz w:val="24"/>
        <w:szCs w:val="24"/>
      </w:rPr>
      <w:t>- 1 -</w:t>
    </w:r>
    <w:r>
      <w:rPr>
        <w:rFonts w:ascii="宋体" w:hAnsi="宋体"/>
        <w:sz w:val="24"/>
        <w:szCs w:val="24"/>
      </w:rPr>
      <w:fldChar w:fldCharType="end"/>
    </w:r>
  </w:p>
  <w:p w:rsidR="00000000" w:rsidRDefault="007959E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EA"/>
    <w:rsid w:val="0020177D"/>
    <w:rsid w:val="0079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AC35D-B2EF-4550-8BA2-0C6474AD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E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5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959EA"/>
    <w:rPr>
      <w:rFonts w:ascii="Calibri" w:eastAsia="宋体" w:hAnsi="Calibri" w:cs="Times New Roman"/>
      <w:sz w:val="18"/>
      <w:szCs w:val="18"/>
    </w:rPr>
  </w:style>
  <w:style w:type="character" w:styleId="a5">
    <w:name w:val="page number"/>
    <w:rsid w:val="007959EA"/>
  </w:style>
  <w:style w:type="character" w:customStyle="1" w:styleId="font11">
    <w:name w:val="font11"/>
    <w:qFormat/>
    <w:rsid w:val="007959EA"/>
    <w:rPr>
      <w:rFonts w:ascii="仿宋_GB2312" w:eastAsia="仿宋_GB2312" w:cs="仿宋_GB2312" w:hint="eastAsia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jobs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chen.yanjie/陈燕婕_粤_CM</dc:creator>
  <cp:keywords/>
  <dc:description/>
  <cp:lastModifiedBy>chen.yanjie/陈燕婕_粤_CM</cp:lastModifiedBy>
  <cp:revision>1</cp:revision>
  <dcterms:created xsi:type="dcterms:W3CDTF">2024-07-29T01:21:00Z</dcterms:created>
  <dcterms:modified xsi:type="dcterms:W3CDTF">2024-07-29T01:21:00Z</dcterms:modified>
</cp:coreProperties>
</file>