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26676">
      <w:pPr>
        <w:jc w:val="center"/>
        <w:rPr>
          <w:rFonts w:ascii="Times New Roman" w:hAnsi="Times New Roman" w:eastAsia="方正剪纸简体" w:cs="Times New Roman"/>
          <w:b/>
          <w:color w:val="FF0000"/>
          <w:sz w:val="40"/>
          <w:szCs w:val="44"/>
          <w:lang w:eastAsia="zh-CN"/>
          <w14:shadow w14:blurRad="60007" w14:dist="200025" w14:dir="15000000" w14:sx="100000" w14:sy="30000" w14:kx="-1800000" w14:ky="0" w14:algn="bl">
            <w14:srgbClr w14:val="000000">
              <w14:alpha w14:val="68000"/>
            </w14:srgbClr>
          </w14:shadow>
        </w:rPr>
      </w:pPr>
      <w:r>
        <w:rPr>
          <w:rFonts w:hint="eastAsia" w:ascii="微软雅黑" w:hAnsi="微软雅黑" w:eastAsia="微软雅黑" w:cs="微软雅黑"/>
          <w:b/>
          <w:color w:val="FF0000"/>
          <w:sz w:val="40"/>
          <w:szCs w:val="44"/>
          <w:lang w:eastAsia="zh-CN"/>
          <w14:shadow w14:blurRad="60007" w14:dist="200025" w14:dir="15000000" w14:sx="100000" w14:sy="30000" w14:kx="-1800000" w14:ky="0" w14:algn="bl">
            <w14:srgbClr w14:val="000000">
              <w14:alpha w14:val="68000"/>
            </w14:srgbClr>
          </w14:shadow>
        </w:rPr>
        <w:t>洞悉红外世界，引领光电潮流</w:t>
      </w:r>
    </w:p>
    <w:p w14:paraId="0A919FB4">
      <w:pPr>
        <w:spacing w:line="500" w:lineRule="exact"/>
        <w:jc w:val="center"/>
        <w:rPr>
          <w:rFonts w:ascii="Times New Roman" w:hAnsi="Times New Roman" w:eastAsia="华文行楷" w:cs="Times New Roman"/>
          <w:b/>
          <w:color w:val="3333FF"/>
          <w:sz w:val="40"/>
          <w:szCs w:val="40"/>
          <w:lang w:eastAsia="zh-CN"/>
        </w:rPr>
      </w:pPr>
      <w:r>
        <w:rPr>
          <w:rFonts w:ascii="Times New Roman" w:hAnsi="Times New Roman" w:eastAsia="华文行楷" w:cs="Times New Roman"/>
          <w:b/>
          <w:color w:val="3333FF"/>
          <w:sz w:val="40"/>
          <w:szCs w:val="40"/>
          <w:lang w:eastAsia="zh-CN"/>
        </w:rPr>
        <w:t>中国科学院上海技术物理研究所</w:t>
      </w:r>
    </w:p>
    <w:p w14:paraId="0FA85FE9">
      <w:pPr>
        <w:spacing w:after="120" w:afterLines="50" w:line="500" w:lineRule="exact"/>
        <w:jc w:val="center"/>
        <w:rPr>
          <w:rFonts w:ascii="Times New Roman" w:hAnsi="Times New Roman" w:eastAsia="华文行楷" w:cs="Times New Roman"/>
          <w:b/>
          <w:color w:val="3333FF"/>
          <w:sz w:val="40"/>
          <w:szCs w:val="40"/>
          <w:lang w:eastAsia="zh-CN"/>
        </w:rPr>
      </w:pPr>
      <w:r>
        <w:rPr>
          <w:rFonts w:ascii="Times New Roman" w:hAnsi="Times New Roman" w:eastAsia="华文行楷" w:cs="Times New Roman"/>
          <w:b/>
          <w:color w:val="3333FF"/>
          <w:sz w:val="40"/>
          <w:szCs w:val="40"/>
          <w:lang w:eastAsia="zh-CN"/>
        </w:rPr>
        <w:t>202</w:t>
      </w:r>
      <w:r>
        <w:rPr>
          <w:rFonts w:hint="eastAsia" w:ascii="Times New Roman" w:hAnsi="Times New Roman" w:eastAsia="华文行楷" w:cs="Times New Roman"/>
          <w:b/>
          <w:color w:val="3333FF"/>
          <w:sz w:val="40"/>
          <w:szCs w:val="40"/>
          <w:lang w:eastAsia="zh-CN"/>
        </w:rPr>
        <w:t>6</w:t>
      </w:r>
      <w:r>
        <w:rPr>
          <w:rFonts w:ascii="Times New Roman" w:hAnsi="Times New Roman" w:eastAsia="华文行楷" w:cs="Times New Roman"/>
          <w:b/>
          <w:color w:val="3333FF"/>
          <w:sz w:val="40"/>
          <w:szCs w:val="40"/>
          <w:lang w:eastAsia="zh-CN"/>
        </w:rPr>
        <w:t>届校园</w:t>
      </w:r>
      <w:r>
        <w:rPr>
          <w:rFonts w:hint="eastAsia" w:ascii="Times New Roman" w:hAnsi="Times New Roman" w:eastAsia="华文行楷" w:cs="Times New Roman"/>
          <w:b/>
          <w:color w:val="3333FF"/>
          <w:sz w:val="40"/>
          <w:szCs w:val="40"/>
          <w:lang w:eastAsia="zh-CN"/>
        </w:rPr>
        <w:t>招聘</w:t>
      </w:r>
    </w:p>
    <w:p w14:paraId="497424DE">
      <w:pPr>
        <w:spacing w:line="500" w:lineRule="exact"/>
        <w:ind w:firstLine="480" w:firstLineChars="200"/>
        <w:rPr>
          <w:rFonts w:ascii="Times New Roman" w:hAnsi="Times New Roman" w:eastAsia="华文中宋" w:cs="Times New Roman"/>
          <w:b/>
          <w:color w:val="000000" w:themeColor="text1"/>
          <w:sz w:val="24"/>
          <w:szCs w:val="24"/>
          <w:lang w:eastAsia="zh-CN"/>
          <w14:textFill>
            <w14:solidFill>
              <w14:schemeClr w14:val="tx1"/>
            </w14:solidFill>
          </w14:textFill>
        </w:rPr>
      </w:pPr>
      <w:r>
        <w:rPr>
          <w:rFonts w:hint="eastAsia" w:ascii="Times New Roman" w:hAnsi="Times New Roman" w:eastAsia="华文中宋" w:cs="Times New Roman"/>
          <w:b/>
          <w:color w:val="000000" w:themeColor="text1"/>
          <w:sz w:val="24"/>
          <w:szCs w:val="24"/>
          <w:lang w:eastAsia="zh-CN"/>
          <w14:textFill>
            <w14:solidFill>
              <w14:schemeClr w14:val="tx1"/>
            </w14:solidFill>
          </w14:textFill>
        </w:rPr>
        <w:t>一、上海技物所简介</w:t>
      </w:r>
    </w:p>
    <w:p w14:paraId="07B72D79">
      <w:pPr>
        <w:widowControl/>
        <w:autoSpaceDE/>
        <w:autoSpaceDN/>
        <w:spacing w:line="500" w:lineRule="exact"/>
        <w:ind w:firstLine="480" w:firstLineChars="200"/>
        <w:rPr>
          <w:rFonts w:ascii="仿宋_GB2312" w:hAnsi="Times New Roman" w:eastAsia="仿宋_GB2312" w:cs="Times New Roman"/>
          <w:bCs/>
          <w:color w:val="000000" w:themeColor="text1"/>
          <w:sz w:val="24"/>
          <w:szCs w:val="24"/>
          <w:highlight w:val="none"/>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t>中国科学院上海技术物理研究所（简称上海技物所）创建于1958年10月，是集基础研究、关键技术攻关、工程研发和高技术产业化为一体的综合型国立研究机构。研究所聚焦红外与光电领域，重点发展空天红外与光电有效载荷、高性能红外探测器、红外物理及前沿技术、空间主动光电和遥感信息处理技术等。现为国家级创新人才培养示范基地，共培养10位院士，百余位各类国家级专家。</w:t>
      </w:r>
    </w:p>
    <w:p w14:paraId="42CE2EB1">
      <w:pPr>
        <w:widowControl/>
        <w:autoSpaceDE/>
        <w:autoSpaceDN/>
        <w:spacing w:line="500" w:lineRule="exact"/>
        <w:ind w:firstLine="480" w:firstLineChars="200"/>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t>研究所面向国家重大战略需求，以实现红外领域高水平科技自立自强为使命，重点满足国家气象灾害监测、对地目标遥感和空间红外天文观测等重大应用需求，形成了新原理与新方法、新材料与新器件到新技术与新系统的完整红外创新链。提出了碲镉汞CXT公式被国际广泛使用，建立的准局域激发态跃迁新方法支撑了我国量子阱长波红外探测器首次航天应用，构筑的感存算一体红外智能感知新范式被Science副主编Highlight；国际上率先实现高频次地球静止轨道大气三维结构精细探测，推动了风云四号卫星在国际的领先地位；发展了自主的大幅宽高光谱成像体制，首次在天基大范围远距离破解了甲烷排放高精准检测的难题，成功监测到“北溪”2号甲烷排放羽流及排放量。自主设计三谱段集成一体化摆扫式长波红外探测方案，实现了国际上幅宽/分辨率比最大的热红外空间载荷，应用于全球首颗服务“联合国2030年可持续发展议程”的可持续发展科学卫星，相关数据发布作为中国恢复联合国合法席位50周年国家活动清单主要活动之一。</w:t>
      </w:r>
    </w:p>
    <w:p w14:paraId="19581FC0">
      <w:pPr>
        <w:widowControl/>
        <w:autoSpaceDE/>
        <w:autoSpaceDN/>
        <w:spacing w:line="500" w:lineRule="exact"/>
        <w:ind w:firstLine="480" w:firstLineChars="200"/>
        <w:rPr>
          <w:rFonts w:ascii="仿宋_GB2312" w:hAnsi="Times New Roman" w:eastAsia="仿宋_GB2312" w:cs="Times New Roman"/>
          <w:bCs/>
          <w:color w:val="000000" w:themeColor="text1"/>
          <w:sz w:val="24"/>
          <w:szCs w:val="24"/>
          <w:highlight w:val="none"/>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t>研究所始终扎根红外光电技术领域，伴随国家战略而发展。在国家重大科技专项 、民用空间基础设施和国防科技创新重大工程等领域承担研制红外与光电有效载荷，是空间遥感探测的核心部分。建所至今，共获得各类科技成果奖447项，国家奖 50项。先后贡献了：我国首个机载红外热像仪、首台空间红外遥感仪器、首个空间碲镉汞单元红外探测器、首台空</w:t>
      </w:r>
      <w:bookmarkStart w:id="0" w:name="_GoBack"/>
      <w:bookmarkEnd w:id="0"/>
      <w:r>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t>间激光主动探测载荷等，研制的国际首台地球同步轨道干涉式大气垂直探测仪和星地量子密钥通信光学载荷等成果实现了领域内国际领跑。</w:t>
      </w:r>
    </w:p>
    <w:p w14:paraId="3840E275">
      <w:pPr>
        <w:widowControl/>
        <w:autoSpaceDE/>
        <w:autoSpaceDN/>
        <w:spacing w:line="500" w:lineRule="exact"/>
        <w:ind w:firstLine="480" w:firstLineChars="200"/>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highlight w:val="none"/>
          <w:lang w:eastAsia="zh-CN"/>
          <w14:textFill>
            <w14:solidFill>
              <w14:schemeClr w14:val="tx1"/>
            </w14:solidFill>
          </w14:textFill>
        </w:rPr>
        <w:t>目前建有红外科学与技术全国重点实验室和红外探测全国重点实验室，是国家级科技创新基地“许健民气象卫星创新中心”的依托单位之一。建有上海市光学薄膜与光谱调控重点实验室以及上海市光电空间感知与操控融合创新中心等省部级创新基地。是中国空间科学学会空间遥感专业委员会、中国光学工程学</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会红外与光电器件专业委员会、中国遥感应用协会高光谱遥感技术与应用委员会、上海市传感技术学会的挂靠单位，上海市红外与遥感学会理事单位之一。</w:t>
      </w:r>
    </w:p>
    <w:p w14:paraId="2C3C7407">
      <w:pPr>
        <w:spacing w:line="500" w:lineRule="exact"/>
        <w:ind w:firstLine="480" w:firstLineChars="200"/>
        <w:rPr>
          <w:rFonts w:ascii="Times New Roman" w:hAnsi="Times New Roman" w:eastAsia="华文中宋" w:cs="Times New Roman"/>
          <w:b/>
          <w:color w:val="000000" w:themeColor="text1"/>
          <w:sz w:val="24"/>
          <w:szCs w:val="24"/>
          <w:lang w:eastAsia="zh-CN"/>
          <w14:textFill>
            <w14:solidFill>
              <w14:schemeClr w14:val="tx1"/>
            </w14:solidFill>
          </w14:textFill>
        </w:rPr>
      </w:pPr>
      <w:r>
        <w:rPr>
          <w:rFonts w:hint="eastAsia" w:ascii="Times New Roman" w:hAnsi="Times New Roman" w:eastAsia="华文中宋" w:cs="Times New Roman"/>
          <w:b/>
          <w:color w:val="000000" w:themeColor="text1"/>
          <w:sz w:val="24"/>
          <w:szCs w:val="24"/>
          <w:lang w:eastAsia="zh-CN"/>
          <w14:textFill>
            <w14:solidFill>
              <w14:schemeClr w14:val="tx1"/>
            </w14:solidFill>
          </w14:textFill>
        </w:rPr>
        <w:t>二、招聘岗位</w:t>
      </w:r>
    </w:p>
    <w:p w14:paraId="263BFBFF">
      <w:pPr>
        <w:spacing w:line="500" w:lineRule="exact"/>
        <w:ind w:firstLine="480" w:firstLineChars="200"/>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常年招收具有电路系统、光学工程、材料物理、微电子与固体电子学、凝聚态物理、制冷与低温工程等专业背景，具有扎实的理论基础和专业知识、较强的科研能力和敬业精神的优秀人才。</w:t>
      </w:r>
    </w:p>
    <w:p w14:paraId="663F3C1A">
      <w:pPr>
        <w:spacing w:line="500" w:lineRule="exact"/>
        <w:ind w:firstLine="482" w:firstLineChars="200"/>
        <w:rPr>
          <w:rFonts w:ascii="Times New Roman" w:hAnsi="Times New Roman" w:eastAsia="华文中宋" w:cs="Times New Roman"/>
          <w:color w:val="000000" w:themeColor="text1"/>
          <w:sz w:val="24"/>
          <w:szCs w:val="24"/>
          <w:lang w:eastAsia="zh-CN"/>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（一）</w:t>
      </w:r>
      <w:r>
        <w:rPr>
          <w:rFonts w:ascii="楷体_GB2312" w:hAnsi="Times New Roman" w:eastAsia="楷体_GB2312" w:cs="Times New Roman"/>
          <w:b/>
          <w:color w:val="000000" w:themeColor="text1"/>
          <w:sz w:val="24"/>
          <w:szCs w:val="24"/>
          <w:lang w:eastAsia="zh-CN"/>
          <w14:textFill>
            <w14:solidFill>
              <w14:schemeClr w14:val="tx1"/>
            </w14:solidFill>
          </w14:textFill>
        </w:rPr>
        <w:t>工程技术</w:t>
      </w:r>
      <w:r>
        <w:rPr>
          <w:rFonts w:hint="eastAsia" w:ascii="楷体_GB2312" w:hAnsi="Times New Roman" w:eastAsia="楷体_GB2312" w:cs="Times New Roman"/>
          <w:b/>
          <w:color w:val="000000" w:themeColor="text1"/>
          <w:sz w:val="24"/>
          <w:szCs w:val="24"/>
          <w:lang w:eastAsia="zh-CN"/>
          <w14:textFill>
            <w14:solidFill>
              <w14:schemeClr w14:val="tx1"/>
            </w14:solidFill>
          </w14:textFill>
        </w:rPr>
        <w:t>研究和科技支撑保障岗位</w:t>
      </w:r>
      <w:r>
        <w:rPr>
          <w:rFonts w:hint="eastAsia" w:ascii="Times New Roman" w:hAnsi="Times New Roman" w:eastAsia="华文中宋" w:cs="Times New Roman"/>
          <w:color w:val="000000" w:themeColor="text1"/>
          <w:sz w:val="24"/>
          <w:szCs w:val="24"/>
          <w:lang w:eastAsia="zh-CN"/>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（面向具有以上专业能力的本、硕）</w:t>
      </w:r>
    </w:p>
    <w:p w14:paraId="22F1A2D0">
      <w:pPr>
        <w:widowControl/>
        <w:spacing w:line="500" w:lineRule="exact"/>
        <w:ind w:firstLine="482" w:firstLineChars="200"/>
        <w:contextualSpacing/>
        <w:rPr>
          <w:rFonts w:ascii="楷体_GB2312" w:hAnsi="Times New Roman" w:eastAsia="楷体_GB2312" w:cs="Times New Roman"/>
          <w:b/>
          <w:color w:val="000000" w:themeColor="text1"/>
          <w:sz w:val="24"/>
          <w:szCs w:val="24"/>
          <w:lang w:eastAsia="zh-CN"/>
          <w14:textFill>
            <w14:solidFill>
              <w14:schemeClr w14:val="tx1"/>
            </w14:soli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1. 具体岗位和专业</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1"/>
        <w:gridCol w:w="3171"/>
        <w:gridCol w:w="3732"/>
      </w:tblGrid>
      <w:tr w14:paraId="5D79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192" w:type="pct"/>
            <w:shd w:val="clear" w:color="000000" w:fill="FFFFFF"/>
            <w:vAlign w:val="center"/>
          </w:tcPr>
          <w:p w14:paraId="2AFFD896">
            <w:pPr>
              <w:widowControl/>
              <w:jc w:val="center"/>
              <w:rPr>
                <w:rFonts w:hint="eastAsia" w:ascii="黑体" w:hAnsi="黑体" w:eastAsia="黑体"/>
                <w:color w:val="333333"/>
                <w:sz w:val="24"/>
                <w:szCs w:val="24"/>
              </w:rPr>
            </w:pPr>
            <w:r>
              <w:rPr>
                <w:rFonts w:hint="eastAsia" w:ascii="黑体" w:hAnsi="黑体" w:eastAsia="黑体"/>
                <w:color w:val="333333"/>
                <w:sz w:val="24"/>
                <w:szCs w:val="24"/>
                <w:lang w:eastAsia="zh-CN"/>
              </w:rPr>
              <w:t>岗位类别</w:t>
            </w:r>
          </w:p>
        </w:tc>
        <w:tc>
          <w:tcPr>
            <w:tcW w:w="1749" w:type="pct"/>
            <w:shd w:val="clear" w:color="000000" w:fill="FFFFFF"/>
            <w:vAlign w:val="center"/>
          </w:tcPr>
          <w:p w14:paraId="3424AFDC">
            <w:pPr>
              <w:widowControl/>
              <w:jc w:val="center"/>
              <w:rPr>
                <w:rFonts w:hint="eastAsia" w:ascii="黑体" w:hAnsi="黑体" w:eastAsia="黑体"/>
                <w:color w:val="333333"/>
                <w:sz w:val="24"/>
                <w:szCs w:val="24"/>
                <w:lang w:eastAsia="zh-CN"/>
              </w:rPr>
            </w:pPr>
            <w:r>
              <w:rPr>
                <w:rFonts w:hint="eastAsia" w:ascii="黑体" w:hAnsi="黑体" w:eastAsia="黑体"/>
                <w:color w:val="333333"/>
                <w:sz w:val="24"/>
                <w:szCs w:val="24"/>
                <w:lang w:eastAsia="zh-CN"/>
              </w:rPr>
              <w:t>专业方向</w:t>
            </w:r>
          </w:p>
        </w:tc>
        <w:tc>
          <w:tcPr>
            <w:tcW w:w="2058" w:type="pct"/>
            <w:shd w:val="clear" w:color="000000" w:fill="FFFFFF"/>
            <w:vAlign w:val="center"/>
          </w:tcPr>
          <w:p w14:paraId="7E7B5BB1">
            <w:pPr>
              <w:widowControl/>
              <w:jc w:val="center"/>
              <w:rPr>
                <w:rFonts w:hint="eastAsia" w:ascii="黑体" w:hAnsi="黑体" w:eastAsia="黑体"/>
                <w:color w:val="333333"/>
                <w:sz w:val="24"/>
                <w:szCs w:val="24"/>
              </w:rPr>
            </w:pPr>
            <w:r>
              <w:rPr>
                <w:rFonts w:hint="eastAsia" w:ascii="黑体" w:hAnsi="黑体" w:eastAsia="黑体"/>
                <w:color w:val="333333"/>
                <w:sz w:val="24"/>
                <w:szCs w:val="24"/>
                <w:lang w:eastAsia="zh-CN"/>
              </w:rPr>
              <w:t>招聘</w:t>
            </w:r>
            <w:r>
              <w:rPr>
                <w:rFonts w:hint="eastAsia" w:ascii="黑体" w:hAnsi="黑体" w:eastAsia="黑体"/>
                <w:color w:val="333333"/>
                <w:sz w:val="24"/>
                <w:szCs w:val="24"/>
              </w:rPr>
              <w:t>岗位</w:t>
            </w:r>
          </w:p>
        </w:tc>
      </w:tr>
      <w:tr w14:paraId="5E18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restart"/>
            <w:shd w:val="clear" w:color="000000" w:fill="FFFFFF"/>
            <w:vAlign w:val="center"/>
          </w:tcPr>
          <w:p w14:paraId="1B4F9449">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工程类</w:t>
            </w:r>
          </w:p>
        </w:tc>
        <w:tc>
          <w:tcPr>
            <w:tcW w:w="1749" w:type="pct"/>
            <w:vMerge w:val="restart"/>
            <w:shd w:val="clear" w:color="000000" w:fill="FFFFFF"/>
            <w:vAlign w:val="center"/>
          </w:tcPr>
          <w:p w14:paraId="56F882BE">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光学</w:t>
            </w:r>
          </w:p>
        </w:tc>
        <w:tc>
          <w:tcPr>
            <w:tcW w:w="2058" w:type="pct"/>
            <w:shd w:val="clear" w:color="000000" w:fill="FFFFFF"/>
            <w:vAlign w:val="center"/>
          </w:tcPr>
          <w:p w14:paraId="16BCA524">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成像光学设计</w:t>
            </w:r>
          </w:p>
        </w:tc>
      </w:tr>
      <w:tr w14:paraId="5DFF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5EDF53F7">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38A5259D">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32A0CDAE">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激光器研制</w:t>
            </w:r>
          </w:p>
        </w:tc>
      </w:tr>
      <w:tr w14:paraId="0640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27C48BE0">
            <w:pPr>
              <w:widowControl/>
              <w:jc w:val="center"/>
              <w:rPr>
                <w:rFonts w:hint="eastAsia" w:ascii="仿宋_GB2312" w:hAnsi="仿宋" w:eastAsia="仿宋_GB2312"/>
                <w:color w:val="333333"/>
                <w:sz w:val="24"/>
                <w:szCs w:val="24"/>
              </w:rPr>
            </w:pPr>
          </w:p>
        </w:tc>
        <w:tc>
          <w:tcPr>
            <w:tcW w:w="1749" w:type="pct"/>
            <w:vMerge w:val="restart"/>
            <w:shd w:val="clear" w:color="000000" w:fill="FFFFFF"/>
            <w:vAlign w:val="center"/>
          </w:tcPr>
          <w:p w14:paraId="3A36C99F">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电子学</w:t>
            </w:r>
          </w:p>
        </w:tc>
        <w:tc>
          <w:tcPr>
            <w:tcW w:w="2058" w:type="pct"/>
            <w:shd w:val="clear" w:color="000000" w:fill="FFFFFF"/>
            <w:vAlign w:val="center"/>
          </w:tcPr>
          <w:p w14:paraId="62E1A9E8">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FPGA硬件设计</w:t>
            </w:r>
          </w:p>
        </w:tc>
      </w:tr>
      <w:tr w14:paraId="57CD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64E37E78">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0677B117">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38D17D9F">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FPGA软件设计</w:t>
            </w:r>
          </w:p>
        </w:tc>
      </w:tr>
      <w:tr w14:paraId="22E3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7195875D">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1076FEF6">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401FE6BA">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ARM电路设计</w:t>
            </w:r>
          </w:p>
        </w:tc>
      </w:tr>
      <w:tr w14:paraId="701B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05E9654B">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65DF98CE">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4DF5F745">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嵌入式软件测试工程师</w:t>
            </w:r>
          </w:p>
        </w:tc>
      </w:tr>
      <w:tr w14:paraId="7AD11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78E5A415">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1CD4A8E6">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25604F5B">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数模硬件电路设计</w:t>
            </w:r>
          </w:p>
        </w:tc>
      </w:tr>
      <w:tr w14:paraId="299A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42F9E0D3">
            <w:pPr>
              <w:widowControl/>
              <w:jc w:val="center"/>
              <w:rPr>
                <w:rFonts w:hint="eastAsia" w:ascii="仿宋_GB2312" w:hAnsi="仿宋" w:eastAsia="仿宋_GB2312"/>
                <w:color w:val="333333"/>
                <w:sz w:val="24"/>
                <w:szCs w:val="24"/>
                <w:lang w:eastAsia="zh-CN"/>
              </w:rPr>
            </w:pPr>
          </w:p>
        </w:tc>
        <w:tc>
          <w:tcPr>
            <w:tcW w:w="1749" w:type="pct"/>
            <w:shd w:val="clear" w:color="000000" w:fill="FFFFFF"/>
            <w:vAlign w:val="center"/>
          </w:tcPr>
          <w:p w14:paraId="0732E77B">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机械类</w:t>
            </w:r>
          </w:p>
        </w:tc>
        <w:tc>
          <w:tcPr>
            <w:tcW w:w="2058" w:type="pct"/>
            <w:shd w:val="clear" w:color="000000" w:fill="FFFFFF"/>
            <w:vAlign w:val="center"/>
          </w:tcPr>
          <w:p w14:paraId="46E71194">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机械结构设计</w:t>
            </w:r>
          </w:p>
        </w:tc>
      </w:tr>
      <w:tr w14:paraId="395C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1EC68E9E">
            <w:pPr>
              <w:widowControl/>
              <w:jc w:val="center"/>
              <w:rPr>
                <w:rFonts w:hint="eastAsia" w:ascii="仿宋_GB2312" w:hAnsi="仿宋" w:eastAsia="仿宋_GB2312"/>
                <w:color w:val="333333"/>
                <w:sz w:val="24"/>
                <w:szCs w:val="24"/>
              </w:rPr>
            </w:pPr>
          </w:p>
        </w:tc>
        <w:tc>
          <w:tcPr>
            <w:tcW w:w="1749" w:type="pct"/>
            <w:vMerge w:val="restart"/>
            <w:shd w:val="clear" w:color="000000" w:fill="FFFFFF"/>
            <w:vAlign w:val="center"/>
          </w:tcPr>
          <w:p w14:paraId="425A015D">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微电子学</w:t>
            </w:r>
          </w:p>
        </w:tc>
        <w:tc>
          <w:tcPr>
            <w:tcW w:w="2058" w:type="pct"/>
            <w:shd w:val="clear" w:color="000000" w:fill="FFFFFF"/>
            <w:vAlign w:val="center"/>
          </w:tcPr>
          <w:p w14:paraId="11F32EF2">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IC数模混合电路设计</w:t>
            </w:r>
          </w:p>
        </w:tc>
      </w:tr>
      <w:tr w14:paraId="50EB3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3329EA5D">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6A10C33B">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201E9949">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读出电路设计</w:t>
            </w:r>
          </w:p>
        </w:tc>
      </w:tr>
      <w:tr w14:paraId="1DF7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6B131F03">
            <w:pPr>
              <w:widowControl/>
              <w:jc w:val="center"/>
              <w:rPr>
                <w:rFonts w:hint="eastAsia" w:ascii="仿宋_GB2312" w:hAnsi="仿宋" w:eastAsia="仿宋_GB2312"/>
                <w:color w:val="333333"/>
                <w:sz w:val="24"/>
                <w:szCs w:val="24"/>
              </w:rPr>
            </w:pPr>
          </w:p>
        </w:tc>
        <w:tc>
          <w:tcPr>
            <w:tcW w:w="1749" w:type="pct"/>
            <w:vMerge w:val="restart"/>
            <w:shd w:val="clear" w:color="000000" w:fill="FFFFFF"/>
            <w:vAlign w:val="center"/>
          </w:tcPr>
          <w:p w14:paraId="5799B2FF">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动力工程与工程热物理</w:t>
            </w:r>
          </w:p>
        </w:tc>
        <w:tc>
          <w:tcPr>
            <w:tcW w:w="2058" w:type="pct"/>
            <w:shd w:val="clear" w:color="000000" w:fill="FFFFFF"/>
            <w:vAlign w:val="center"/>
          </w:tcPr>
          <w:p w14:paraId="3E74B2AF">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热控设计</w:t>
            </w:r>
          </w:p>
        </w:tc>
      </w:tr>
      <w:tr w14:paraId="37BF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43920409">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53B19AE5">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5F9023EC">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深低温结构设计</w:t>
            </w:r>
          </w:p>
        </w:tc>
      </w:tr>
      <w:tr w14:paraId="7348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35B04E19">
            <w:pPr>
              <w:widowControl/>
              <w:jc w:val="center"/>
              <w:rPr>
                <w:rFonts w:hint="eastAsia" w:ascii="仿宋_GB2312" w:hAnsi="仿宋" w:eastAsia="仿宋_GB2312"/>
                <w:color w:val="333333"/>
                <w:sz w:val="24"/>
                <w:szCs w:val="24"/>
              </w:rPr>
            </w:pPr>
          </w:p>
        </w:tc>
        <w:tc>
          <w:tcPr>
            <w:tcW w:w="1749" w:type="pct"/>
            <w:shd w:val="clear" w:color="000000" w:fill="FFFFFF"/>
            <w:vAlign w:val="center"/>
          </w:tcPr>
          <w:p w14:paraId="47B0DF69">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遥感定标类</w:t>
            </w:r>
          </w:p>
        </w:tc>
        <w:tc>
          <w:tcPr>
            <w:tcW w:w="2058" w:type="pct"/>
            <w:shd w:val="clear" w:color="000000" w:fill="FFFFFF"/>
            <w:vAlign w:val="center"/>
          </w:tcPr>
          <w:p w14:paraId="6777A02D">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定标及数据处理</w:t>
            </w:r>
          </w:p>
        </w:tc>
      </w:tr>
      <w:tr w14:paraId="0755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49196C3D">
            <w:pPr>
              <w:widowControl/>
              <w:jc w:val="center"/>
              <w:rPr>
                <w:rFonts w:hint="eastAsia" w:ascii="仿宋_GB2312" w:hAnsi="仿宋" w:eastAsia="仿宋_GB2312"/>
                <w:color w:val="333333"/>
                <w:sz w:val="24"/>
                <w:szCs w:val="24"/>
              </w:rPr>
            </w:pPr>
          </w:p>
        </w:tc>
        <w:tc>
          <w:tcPr>
            <w:tcW w:w="1749" w:type="pct"/>
            <w:shd w:val="clear" w:color="000000" w:fill="FFFFFF"/>
            <w:vAlign w:val="center"/>
          </w:tcPr>
          <w:p w14:paraId="6F5A2C0F">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控制工程类</w:t>
            </w:r>
          </w:p>
        </w:tc>
        <w:tc>
          <w:tcPr>
            <w:tcW w:w="2058" w:type="pct"/>
            <w:shd w:val="clear" w:color="000000" w:fill="FFFFFF"/>
            <w:vAlign w:val="center"/>
          </w:tcPr>
          <w:p w14:paraId="71593BB9">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自动控制研发</w:t>
            </w:r>
          </w:p>
        </w:tc>
      </w:tr>
      <w:tr w14:paraId="12FB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68CE17F5">
            <w:pPr>
              <w:widowControl/>
              <w:jc w:val="center"/>
              <w:rPr>
                <w:rFonts w:hint="eastAsia" w:ascii="仿宋_GB2312" w:hAnsi="仿宋" w:eastAsia="仿宋_GB2312"/>
                <w:color w:val="333333"/>
                <w:sz w:val="24"/>
                <w:szCs w:val="24"/>
              </w:rPr>
            </w:pPr>
          </w:p>
        </w:tc>
        <w:tc>
          <w:tcPr>
            <w:tcW w:w="1749" w:type="pct"/>
            <w:vMerge w:val="restart"/>
            <w:shd w:val="clear" w:color="000000" w:fill="FFFFFF"/>
            <w:vAlign w:val="center"/>
          </w:tcPr>
          <w:p w14:paraId="457A0DEF">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软件开发类</w:t>
            </w:r>
          </w:p>
        </w:tc>
        <w:tc>
          <w:tcPr>
            <w:tcW w:w="2058" w:type="pct"/>
            <w:shd w:val="clear" w:color="000000" w:fill="FFFFFF"/>
            <w:vAlign w:val="center"/>
          </w:tcPr>
          <w:p w14:paraId="7675744B">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上位机软件开发</w:t>
            </w:r>
          </w:p>
        </w:tc>
      </w:tr>
      <w:tr w14:paraId="6D74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517A2314">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55A08AEF">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0AFED668">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软件保证管理</w:t>
            </w:r>
          </w:p>
        </w:tc>
      </w:tr>
      <w:tr w14:paraId="214C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restart"/>
            <w:shd w:val="clear" w:color="000000" w:fill="FFFFFF"/>
            <w:vAlign w:val="center"/>
          </w:tcPr>
          <w:p w14:paraId="19948624">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工艺类</w:t>
            </w:r>
          </w:p>
        </w:tc>
        <w:tc>
          <w:tcPr>
            <w:tcW w:w="1749" w:type="pct"/>
            <w:vMerge w:val="restart"/>
            <w:shd w:val="clear" w:color="000000" w:fill="FFFFFF"/>
            <w:vAlign w:val="center"/>
          </w:tcPr>
          <w:p w14:paraId="71EAC55A">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lang w:eastAsia="zh-CN"/>
              </w:rPr>
              <w:t>材料器件</w:t>
            </w:r>
          </w:p>
        </w:tc>
        <w:tc>
          <w:tcPr>
            <w:tcW w:w="2058" w:type="pct"/>
            <w:shd w:val="clear" w:color="000000" w:fill="FFFFFF"/>
            <w:vAlign w:val="center"/>
          </w:tcPr>
          <w:p w14:paraId="56A20953">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半导体材料工艺</w:t>
            </w:r>
          </w:p>
        </w:tc>
      </w:tr>
      <w:tr w14:paraId="38CF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152CC8E0">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7222E881">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403E805E">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器件工艺</w:t>
            </w:r>
          </w:p>
        </w:tc>
      </w:tr>
      <w:tr w14:paraId="143B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0A4A001A">
            <w:pPr>
              <w:widowControl/>
              <w:jc w:val="center"/>
              <w:rPr>
                <w:rFonts w:hint="eastAsia" w:ascii="仿宋_GB2312" w:hAnsi="仿宋" w:eastAsia="仿宋_GB2312"/>
                <w:color w:val="333333"/>
                <w:sz w:val="24"/>
                <w:szCs w:val="24"/>
                <w:lang w:eastAsia="zh-CN"/>
              </w:rPr>
            </w:pPr>
          </w:p>
        </w:tc>
        <w:tc>
          <w:tcPr>
            <w:tcW w:w="1749" w:type="pct"/>
            <w:vMerge w:val="restart"/>
            <w:vAlign w:val="center"/>
          </w:tcPr>
          <w:p w14:paraId="53F29746">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低温与制冷</w:t>
            </w:r>
          </w:p>
        </w:tc>
        <w:tc>
          <w:tcPr>
            <w:tcW w:w="2058" w:type="pct"/>
            <w:shd w:val="clear" w:color="000000" w:fill="FFFFFF"/>
            <w:vAlign w:val="center"/>
          </w:tcPr>
          <w:p w14:paraId="1CA22A41">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热管工艺</w:t>
            </w:r>
          </w:p>
        </w:tc>
      </w:tr>
      <w:tr w14:paraId="6997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5357B3BF">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66979940">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60DF178C">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制冷工艺</w:t>
            </w:r>
          </w:p>
        </w:tc>
      </w:tr>
      <w:tr w14:paraId="34026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68AEB074">
            <w:pPr>
              <w:widowControl/>
              <w:jc w:val="center"/>
              <w:rPr>
                <w:rFonts w:hint="eastAsia" w:ascii="仿宋_GB2312" w:hAnsi="仿宋" w:eastAsia="仿宋_GB2312"/>
                <w:color w:val="333333"/>
                <w:sz w:val="24"/>
                <w:szCs w:val="24"/>
              </w:rPr>
            </w:pPr>
          </w:p>
        </w:tc>
        <w:tc>
          <w:tcPr>
            <w:tcW w:w="1749" w:type="pct"/>
            <w:vMerge w:val="restart"/>
            <w:shd w:val="clear" w:color="000000" w:fill="FFFFFF"/>
            <w:vAlign w:val="center"/>
          </w:tcPr>
          <w:p w14:paraId="10B4514C">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光学薄膜研制</w:t>
            </w:r>
          </w:p>
        </w:tc>
        <w:tc>
          <w:tcPr>
            <w:tcW w:w="2058" w:type="pct"/>
            <w:shd w:val="clear" w:color="000000" w:fill="FFFFFF"/>
            <w:vAlign w:val="center"/>
          </w:tcPr>
          <w:p w14:paraId="709F8D73">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红外光学薄膜器件研制</w:t>
            </w:r>
          </w:p>
        </w:tc>
      </w:tr>
      <w:tr w14:paraId="00386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5A63348E">
            <w:pPr>
              <w:widowControl/>
              <w:jc w:val="center"/>
              <w:rPr>
                <w:rFonts w:hint="eastAsia" w:ascii="仿宋_GB2312" w:hAnsi="仿宋" w:eastAsia="仿宋_GB2312"/>
                <w:color w:val="333333"/>
                <w:sz w:val="24"/>
                <w:szCs w:val="24"/>
                <w:lang w:eastAsia="zh-CN"/>
              </w:rPr>
            </w:pPr>
          </w:p>
        </w:tc>
        <w:tc>
          <w:tcPr>
            <w:tcW w:w="1749" w:type="pct"/>
            <w:vMerge w:val="continue"/>
            <w:shd w:val="clear" w:color="000000" w:fill="FFFFFF"/>
            <w:vAlign w:val="center"/>
          </w:tcPr>
          <w:p w14:paraId="2AE4093F">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094391AD">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rPr>
              <w:t>光学薄膜制备工艺</w:t>
            </w:r>
          </w:p>
        </w:tc>
      </w:tr>
      <w:tr w14:paraId="556A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shd w:val="clear" w:color="000000" w:fill="FFFFFF"/>
            <w:vAlign w:val="center"/>
          </w:tcPr>
          <w:p w14:paraId="0DE97913">
            <w:pPr>
              <w:widowControl/>
              <w:jc w:val="center"/>
              <w:rPr>
                <w:rFonts w:hint="eastAsia" w:ascii="仿宋_GB2312" w:hAnsi="仿宋" w:eastAsia="仿宋_GB2312"/>
                <w:color w:val="333333"/>
                <w:sz w:val="24"/>
                <w:szCs w:val="24"/>
                <w:lang w:eastAsia="zh-CN"/>
              </w:rPr>
            </w:pPr>
          </w:p>
        </w:tc>
        <w:tc>
          <w:tcPr>
            <w:tcW w:w="1749" w:type="pct"/>
            <w:vMerge w:val="restart"/>
            <w:shd w:val="clear" w:color="000000" w:fill="FFFFFF"/>
            <w:vAlign w:val="center"/>
          </w:tcPr>
          <w:p w14:paraId="50D67F81">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探测器材料和器件物理</w:t>
            </w:r>
          </w:p>
        </w:tc>
        <w:tc>
          <w:tcPr>
            <w:tcW w:w="2058" w:type="pct"/>
            <w:shd w:val="clear" w:color="000000" w:fill="FFFFFF"/>
            <w:vAlign w:val="center"/>
          </w:tcPr>
          <w:p w14:paraId="4FE66983">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半导体器件可靠性研究</w:t>
            </w:r>
          </w:p>
        </w:tc>
      </w:tr>
      <w:tr w14:paraId="1486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752F3DED">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30679B05">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11B2D447">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外延材料制备</w:t>
            </w:r>
          </w:p>
        </w:tc>
      </w:tr>
      <w:tr w14:paraId="0061A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vMerge w:val="continue"/>
            <w:vAlign w:val="center"/>
          </w:tcPr>
          <w:p w14:paraId="0398BE86">
            <w:pPr>
              <w:widowControl/>
              <w:jc w:val="center"/>
              <w:rPr>
                <w:rFonts w:hint="eastAsia" w:ascii="仿宋_GB2312" w:hAnsi="仿宋" w:eastAsia="仿宋_GB2312"/>
                <w:color w:val="333333"/>
                <w:sz w:val="24"/>
                <w:szCs w:val="24"/>
                <w:lang w:eastAsia="zh-CN"/>
              </w:rPr>
            </w:pPr>
          </w:p>
        </w:tc>
        <w:tc>
          <w:tcPr>
            <w:tcW w:w="1749" w:type="pct"/>
            <w:vMerge w:val="continue"/>
            <w:vAlign w:val="center"/>
          </w:tcPr>
          <w:p w14:paraId="15D1CFBB">
            <w:pPr>
              <w:widowControl/>
              <w:jc w:val="center"/>
              <w:rPr>
                <w:rFonts w:hint="eastAsia" w:ascii="仿宋_GB2312" w:hAnsi="仿宋" w:eastAsia="仿宋_GB2312"/>
                <w:color w:val="333333"/>
                <w:sz w:val="24"/>
                <w:szCs w:val="24"/>
                <w:lang w:eastAsia="zh-CN"/>
              </w:rPr>
            </w:pPr>
          </w:p>
        </w:tc>
        <w:tc>
          <w:tcPr>
            <w:tcW w:w="2058" w:type="pct"/>
            <w:shd w:val="clear" w:color="000000" w:fill="FFFFFF"/>
            <w:vAlign w:val="center"/>
          </w:tcPr>
          <w:p w14:paraId="2D1B037D">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lang w:eastAsia="zh-CN"/>
              </w:rPr>
              <w:t>多维感知芯片/超晶格芯片制备、材料生长研究</w:t>
            </w:r>
          </w:p>
        </w:tc>
      </w:tr>
      <w:tr w14:paraId="5A74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192" w:type="pct"/>
            <w:shd w:val="clear" w:color="000000" w:fill="FFFFFF"/>
            <w:vAlign w:val="center"/>
          </w:tcPr>
          <w:p w14:paraId="3C9016A4">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lang w:eastAsia="zh-CN"/>
              </w:rPr>
              <w:t>支撑类</w:t>
            </w:r>
          </w:p>
        </w:tc>
        <w:tc>
          <w:tcPr>
            <w:tcW w:w="1749" w:type="pct"/>
            <w:shd w:val="clear" w:color="000000" w:fill="FFFFFF"/>
            <w:vAlign w:val="center"/>
          </w:tcPr>
          <w:p w14:paraId="7EC1601A">
            <w:pPr>
              <w:widowControl/>
              <w:jc w:val="center"/>
              <w:rPr>
                <w:rFonts w:hint="eastAsia" w:ascii="仿宋_GB2312" w:hAnsi="仿宋" w:eastAsia="仿宋_GB2312"/>
                <w:color w:val="333333"/>
                <w:sz w:val="24"/>
                <w:szCs w:val="24"/>
                <w:lang w:eastAsia="zh-CN"/>
              </w:rPr>
            </w:pPr>
            <w:r>
              <w:rPr>
                <w:rFonts w:hint="eastAsia" w:ascii="仿宋_GB2312" w:hAnsi="仿宋" w:eastAsia="仿宋_GB2312"/>
                <w:color w:val="333333"/>
                <w:sz w:val="24"/>
                <w:szCs w:val="24"/>
              </w:rPr>
              <w:t>科研辅助</w:t>
            </w:r>
          </w:p>
        </w:tc>
        <w:tc>
          <w:tcPr>
            <w:tcW w:w="2058" w:type="pct"/>
            <w:shd w:val="clear" w:color="000000" w:fill="FFFFFF"/>
            <w:vAlign w:val="center"/>
          </w:tcPr>
          <w:p w14:paraId="5B90BB75">
            <w:pPr>
              <w:widowControl/>
              <w:jc w:val="center"/>
              <w:rPr>
                <w:rFonts w:hint="eastAsia" w:ascii="仿宋_GB2312" w:hAnsi="仿宋" w:eastAsia="仿宋_GB2312"/>
                <w:color w:val="333333"/>
                <w:sz w:val="24"/>
                <w:szCs w:val="24"/>
              </w:rPr>
            </w:pPr>
            <w:r>
              <w:rPr>
                <w:rFonts w:hint="eastAsia" w:ascii="仿宋_GB2312" w:hAnsi="仿宋" w:eastAsia="仿宋_GB2312"/>
                <w:color w:val="333333"/>
                <w:sz w:val="24"/>
                <w:szCs w:val="24"/>
              </w:rPr>
              <w:t>科研财务助理</w:t>
            </w:r>
          </w:p>
        </w:tc>
      </w:tr>
    </w:tbl>
    <w:p w14:paraId="3BDFE8F3">
      <w:pPr>
        <w:widowControl/>
        <w:spacing w:line="500" w:lineRule="exact"/>
        <w:ind w:firstLine="482" w:firstLineChars="200"/>
        <w:contextualSpacing/>
        <w:rPr>
          <w:rFonts w:ascii="楷体_GB2312" w:hAnsi="Times New Roman" w:eastAsia="楷体_GB2312" w:cs="Times New Roman"/>
          <w:b/>
          <w:color w:val="000000" w:themeColor="text1"/>
          <w:sz w:val="24"/>
          <w:szCs w:val="24"/>
          <w:lang w:eastAsia="zh-CN"/>
          <w14:textFill>
            <w14:solidFill>
              <w14:schemeClr w14:val="tx1"/>
            </w14:soli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2. 专业晋升路线</w:t>
      </w:r>
    </w:p>
    <w:p w14:paraId="17F89629">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(1)工 程 类：  助理工程师   →  工程师  → 高级工程师 → 正高级工程师。</w:t>
      </w:r>
    </w:p>
    <w:p w14:paraId="36A55B3E">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(2)工 艺 类：  助理实验师   →  实验师  → 高级实验师 → 正高级实验师。</w:t>
      </w:r>
    </w:p>
    <w:p w14:paraId="00AA23C8">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(3)科研助理：九/八/七级职员 → 六级职员 →   五级职员 → 四级职员。</w:t>
      </w:r>
    </w:p>
    <w:p w14:paraId="1A2B635C">
      <w:pPr>
        <w:widowControl/>
        <w:spacing w:line="500" w:lineRule="exact"/>
        <w:ind w:firstLine="482" w:firstLineChars="200"/>
        <w:contextualSpacing/>
        <w:rPr>
          <w:rFonts w:ascii="楷体_GB2312" w:hAnsi="Times New Roman" w:eastAsia="楷体_GB2312" w:cs="Times New Roman"/>
          <w:b/>
          <w:color w:val="000000" w:themeColor="text1"/>
          <w:sz w:val="24"/>
          <w:szCs w:val="24"/>
          <w:lang w:eastAsia="zh-CN"/>
          <w14:textFill>
            <w14:solidFill>
              <w14:schemeClr w14:val="tx1"/>
            </w14:soli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3. 薪资待遇</w:t>
      </w:r>
    </w:p>
    <w:p w14:paraId="0D8F80A4">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硕士应届毕业生纳入工程技术类岗位，第一年税前月收入（</w:t>
      </w:r>
      <w:r>
        <w:rPr>
          <w:rFonts w:ascii="仿宋_GB2312" w:hAnsi="Times New Roman" w:eastAsia="仿宋_GB2312" w:cs="Times New Roman"/>
          <w:bCs/>
          <w:color w:val="000000" w:themeColor="text1"/>
          <w:sz w:val="24"/>
          <w:szCs w:val="24"/>
          <w:lang w:eastAsia="zh-CN"/>
          <w14:textFill>
            <w14:solidFill>
              <w14:schemeClr w14:val="tx1"/>
            </w14:solidFill>
          </w14:textFill>
        </w:rPr>
        <w:t>13000元</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～18000元）起</w:t>
      </w:r>
      <w:r>
        <w:rPr>
          <w:rFonts w:ascii="仿宋_GB2312" w:hAnsi="Times New Roman" w:eastAsia="仿宋_GB2312" w:cs="Times New Roman"/>
          <w:bCs/>
          <w:color w:val="000000" w:themeColor="text1"/>
          <w:sz w:val="24"/>
          <w:szCs w:val="24"/>
          <w:lang w:eastAsia="zh-CN"/>
          <w14:textFill>
            <w14:solidFill>
              <w14:schemeClr w14:val="tx1"/>
            </w14:solidFill>
          </w14:textFill>
        </w:rPr>
        <w:t>+绩效、其他福利。</w:t>
      </w:r>
    </w:p>
    <w:p w14:paraId="5546C5BE">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本科应届毕业生纳入科研、工程技术辅助类岗位，第一年税前月收入（</w:t>
      </w:r>
      <w:r>
        <w:rPr>
          <w:rFonts w:ascii="仿宋_GB2312" w:hAnsi="Times New Roman" w:eastAsia="仿宋_GB2312" w:cs="Times New Roman"/>
          <w:bCs/>
          <w:color w:val="000000" w:themeColor="text1"/>
          <w:sz w:val="24"/>
          <w:szCs w:val="24"/>
          <w:lang w:eastAsia="zh-CN"/>
          <w14:textFill>
            <w14:solidFill>
              <w14:schemeClr w14:val="tx1"/>
            </w14:solidFill>
          </w14:textFill>
        </w:rPr>
        <w:t>7000元</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～12000元）</w:t>
      </w:r>
      <w:r>
        <w:rPr>
          <w:rFonts w:ascii="仿宋_GB2312" w:hAnsi="Times New Roman" w:eastAsia="仿宋_GB2312" w:cs="Times New Roman"/>
          <w:bCs/>
          <w:color w:val="000000" w:themeColor="text1"/>
          <w:sz w:val="24"/>
          <w:szCs w:val="24"/>
          <w:lang w:eastAsia="zh-CN"/>
          <w14:textFill>
            <w14:solidFill>
              <w14:schemeClr w14:val="tx1"/>
            </w14:solidFill>
          </w14:textFill>
        </w:rPr>
        <w:t>+绩效、其他福利。</w:t>
      </w:r>
    </w:p>
    <w:p w14:paraId="171CE806">
      <w:pPr>
        <w:widowControl/>
        <w:spacing w:line="500" w:lineRule="exact"/>
        <w:ind w:firstLine="480" w:firstLineChars="200"/>
        <w:contextualSpacing/>
        <w:rPr>
          <w:rFonts w:ascii="仿宋_GB2312" w:hAnsi="Times New Roman" w:eastAsia="仿宋_GB2312" w:cs="Times New Roman"/>
          <w:bCs/>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具有相关经验的相关同行业专业技术人才，薪酬认定另议。</w:t>
      </w:r>
    </w:p>
    <w:p w14:paraId="4AFDEFD1">
      <w:pPr>
        <w:widowControl/>
        <w:spacing w:line="500" w:lineRule="exact"/>
        <w:ind w:firstLine="480" w:firstLineChars="200"/>
        <w:contextualSpacing/>
        <w:rPr>
          <w:rFonts w:ascii="Times New Roman" w:hAnsi="Times New Roman" w:eastAsia="华文中宋" w:cs="Times New Roman"/>
          <w:b/>
          <w:color w:val="000000" w:themeColor="text1"/>
          <w:sz w:val="24"/>
          <w:szCs w:val="24"/>
          <w:lang w:eastAsia="zh-CN"/>
          <w14:textFill>
            <w14:solidFill>
              <w14:schemeClr w14:val="tx1"/>
            </w14:solidFill>
          </w14:textFill>
        </w:rPr>
      </w:pPr>
      <w:r>
        <w:rPr>
          <w:rFonts w:hint="eastAsia" w:ascii="Times New Roman" w:hAnsi="Times New Roman" w:eastAsia="华文中宋" w:cs="Times New Roman"/>
          <w:b/>
          <w:color w:val="000000" w:themeColor="text1"/>
          <w:sz w:val="24"/>
          <w:szCs w:val="24"/>
          <w:lang w:eastAsia="zh-CN"/>
          <w14:textFill>
            <w14:solidFill>
              <w14:schemeClr w14:val="tx1"/>
            </w14:solidFill>
          </w14:textFill>
        </w:rPr>
        <w:t>（二）基础科学研究和技术科学研究岗位</w:t>
      </w:r>
      <w:r>
        <w:rPr>
          <w:rFonts w:hint="eastAsia" w:ascii="Times New Roman" w:hAnsi="Times New Roman" w:eastAsia="华文中宋" w:cs="Times New Roman"/>
          <w:color w:val="000000" w:themeColor="text1"/>
          <w:sz w:val="24"/>
          <w:szCs w:val="24"/>
          <w:lang w:eastAsia="zh-CN"/>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（仅招收博士）</w:t>
      </w:r>
    </w:p>
    <w:p w14:paraId="0AE60344">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建有电子科学与技术和物理学两个一级学科博士后科研流动站，</w:t>
      </w:r>
      <w:r>
        <w:rPr>
          <w:rFonts w:hint="eastAsia" w:ascii="仿宋_GB2312" w:hAnsi="Times New Roman" w:eastAsia="仿宋_GB2312" w:cs="Times New Roman"/>
          <w:color w:val="000000" w:themeColor="text1"/>
          <w:sz w:val="24"/>
          <w:szCs w:val="24"/>
          <w:lang w:eastAsia="zh-CN"/>
          <w14:textFill>
            <w14:solidFill>
              <w14:schemeClr w14:val="tx1"/>
            </w14:solidFill>
          </w14:textFill>
        </w:rPr>
        <w:t>毕业并已取得博士学位（或已通过博士论文答辩且在2026年12月31日前毕业）、身体健康、年龄一般不超过35周岁（含）者可</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全职进站从事相关科研工作。</w:t>
      </w:r>
    </w:p>
    <w:p w14:paraId="3517EF1E">
      <w:pPr>
        <w:widowControl/>
        <w:spacing w:line="500" w:lineRule="exact"/>
        <w:ind w:firstLine="482" w:firstLineChars="200"/>
        <w:contextualSpacing/>
        <w:rPr>
          <w:rFonts w:ascii="楷体_GB2312" w:hAnsi="Times New Roman" w:eastAsia="楷体_GB2312" w:cs="Times New Roman"/>
          <w:b/>
          <w:color w:val="C0504D" w:themeColor="accent2"/>
          <w:sz w:val="24"/>
          <w:szCs w:val="24"/>
          <w:lang w:eastAsia="zh-CN"/>
          <w14:textFill>
            <w14:solidFill>
              <w14:schemeClr w14:val="accent2"/>
            </w14:solidFill>
          </w14:textFill>
        </w:rPr>
      </w:pPr>
      <w:r>
        <w:rPr>
          <w:rFonts w:hint="eastAsia" w:ascii="楷体_GB2312" w:hAnsi="Times New Roman" w:eastAsia="楷体_GB2312" w:cs="Times New Roman"/>
          <w:b/>
          <w:color w:val="C0504D" w:themeColor="accent2"/>
          <w:sz w:val="24"/>
          <w:szCs w:val="24"/>
          <w:lang w:eastAsia="zh-CN"/>
          <w14:textFill>
            <w14:solidFill>
              <w14:schemeClr w14:val="accent2"/>
            </w14:solidFill>
          </w14:textFill>
        </w:rPr>
        <w:t>1. 专业方向</w:t>
      </w:r>
    </w:p>
    <w:p w14:paraId="723D1A34">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lang w:eastAsia="zh-CN"/>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空间高光谱探测成像及主动光电探测技术研究</w:t>
      </w:r>
    </w:p>
    <w:p w14:paraId="2D232199">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多维多尺度光电技术及应用研究</w:t>
      </w:r>
    </w:p>
    <w:p w14:paraId="37CCA2DB">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空间光机系统技术研究</w:t>
      </w:r>
    </w:p>
    <w:p w14:paraId="40906ED8">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光子通信与量子测量技术研究</w:t>
      </w:r>
    </w:p>
    <w:p w14:paraId="7FF932A6">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空间微振动测量技术与应用研究</w:t>
      </w:r>
    </w:p>
    <w:p w14:paraId="161916DF">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光机载荷精准热设计技术研究</w:t>
      </w:r>
    </w:p>
    <w:p w14:paraId="5B8F398F">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高精度低干扰制冷机系统控制技术研究</w:t>
      </w:r>
    </w:p>
    <w:p w14:paraId="20A006E8">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微通道沸腾换热机理研究和工艺实现</w:t>
      </w:r>
    </w:p>
    <w:p w14:paraId="3635B199">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大功率散热系统优化技术研究</w:t>
      </w:r>
    </w:p>
    <w:p w14:paraId="44EB00B7">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液氦温区节流系统轻量化及耦合应用研究</w:t>
      </w:r>
    </w:p>
    <w:p w14:paraId="068746EC">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氦工质两相传热特性研究</w:t>
      </w:r>
    </w:p>
    <w:p w14:paraId="0EB8886E">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大冷量多级脉管匹配技术研究</w:t>
      </w:r>
    </w:p>
    <w:p w14:paraId="58569C61">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深低温区复合制冷技术研究</w:t>
      </w:r>
    </w:p>
    <w:p w14:paraId="0DBA2CD4">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目标探测识别</w:t>
      </w:r>
    </w:p>
    <w:p w14:paraId="3A567099">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先进光学研究</w:t>
      </w:r>
    </w:p>
    <w:p w14:paraId="212A5E2C">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空间光学载荷系统</w:t>
      </w:r>
    </w:p>
    <w:p w14:paraId="716B877D">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电机控制技术</w:t>
      </w:r>
    </w:p>
    <w:p w14:paraId="4539A784">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低温多模式扫描探针显微术研究</w:t>
      </w:r>
    </w:p>
    <w:p w14:paraId="4FDC5C60">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光电耦合微纳器件研究</w:t>
      </w:r>
    </w:p>
    <w:p w14:paraId="53D0BE84">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先进红外材料与器件研究</w:t>
      </w:r>
    </w:p>
    <w:p w14:paraId="0A29C086">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微纳光学器件研究</w:t>
      </w:r>
    </w:p>
    <w:p w14:paraId="7ECB7DBD">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微纳光子学前沿研究</w:t>
      </w:r>
    </w:p>
    <w:p w14:paraId="5FA3AA2E">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超表面集成探测芯片研制</w:t>
      </w:r>
    </w:p>
    <w:p w14:paraId="24C47D8E">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极低温制冷研究</w:t>
      </w:r>
    </w:p>
    <w:p w14:paraId="21117812">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片上多模态红外探测芯片研究</w:t>
      </w:r>
    </w:p>
    <w:p w14:paraId="363808F5">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新型红外与太赫兹光电探测机理及器件研究</w:t>
      </w:r>
    </w:p>
    <w:p w14:paraId="1EBC5E3F">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新型差频太赫兹光源</w:t>
      </w:r>
    </w:p>
    <w:p w14:paraId="3B78560D">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半导体量子探测器件的光电联合调控研究</w:t>
      </w:r>
    </w:p>
    <w:p w14:paraId="128A0F49">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微纳光学与薄膜元件设计与研制</w:t>
      </w:r>
    </w:p>
    <w:p w14:paraId="55791FD6">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先进光学薄膜材料研究</w:t>
      </w:r>
    </w:p>
    <w:p w14:paraId="22C7370D">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先进静止轨道定量遥感载荷分光技术研究</w:t>
      </w:r>
    </w:p>
    <w:p w14:paraId="4F97AD30">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空间光学薄膜研究</w:t>
      </w:r>
    </w:p>
    <w:p w14:paraId="08DBDE83">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基于遥感大数据的可持续发展战略研究</w:t>
      </w:r>
    </w:p>
    <w:p w14:paraId="75F3F36C">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ascii="仿宋_GB2312" w:hAnsi="Times New Roman" w:eastAsia="仿宋_GB2312" w:cs="Times New Roman"/>
          <w:color w:val="000000" w:themeColor="text1"/>
          <w:sz w:val="24"/>
          <w:szCs w:val="24"/>
          <w:lang w:eastAsia="zh-CN"/>
          <w14:textFill>
            <w14:solidFill>
              <w14:schemeClr w14:val="tx1"/>
            </w14:solidFill>
          </w14:textFill>
        </w:rPr>
        <w:t>♦</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 二维磁光材料与器件研究</w:t>
      </w:r>
    </w:p>
    <w:p w14:paraId="2ACE5A0A">
      <w:pPr>
        <w:widowControl/>
        <w:spacing w:line="500" w:lineRule="exact"/>
        <w:ind w:firstLine="482" w:firstLineChars="200"/>
        <w:contextualSpacing/>
        <w:rPr>
          <w:rFonts w:ascii="楷体_GB2312" w:hAnsi="Times New Roman" w:eastAsia="楷体_GB2312" w:cs="Times New Roman"/>
          <w:b/>
          <w:color w:val="000000" w:themeColor="text1"/>
          <w:sz w:val="24"/>
          <w:szCs w:val="24"/>
          <w:lang w:eastAsia="zh-CN"/>
          <w14:textFill>
            <w14:solidFill>
              <w14:schemeClr w14:val="tx1"/>
            </w14:soli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2. 博士后专业晋升路线</w:t>
      </w:r>
    </w:p>
    <w:p w14:paraId="49610960">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（1）博士后阶段：青年副研究员 </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青年研究员</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国家级各类人才</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各类突出贡献者。</w:t>
      </w:r>
    </w:p>
    <w:p w14:paraId="2AB17640">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（2）出站留所阶段：助理研究员 </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副研究员 </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研究员</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国家级各类人才</w:t>
      </w:r>
      <w:r>
        <w:rPr>
          <w:rFonts w:hint="eastAsia" w:ascii="仿宋_GB2312" w:hAnsi="Times New Roman" w:eastAsia="仿宋_GB2312" w:cs="Times New Roman"/>
          <w:bCs/>
          <w:color w:val="000000" w:themeColor="text1"/>
          <w:sz w:val="24"/>
          <w:szCs w:val="24"/>
          <w:lang w:eastAsia="zh-CN"/>
          <w14:textFill>
            <w14:solidFill>
              <w14:schemeClr w14:val="tx1"/>
            </w14:solidFill>
          </w14:textFill>
        </w:rPr>
        <w:t xml:space="preserve">→ </w:t>
      </w:r>
      <w:r>
        <w:rPr>
          <w:rFonts w:hint="eastAsia" w:ascii="仿宋_GB2312" w:hAnsi="Times New Roman" w:eastAsia="仿宋_GB2312" w:cs="Times New Roman"/>
          <w:color w:val="000000" w:themeColor="text1"/>
          <w:sz w:val="24"/>
          <w:szCs w:val="24"/>
          <w:lang w:eastAsia="zh-CN"/>
          <w14:textFill>
            <w14:solidFill>
              <w14:schemeClr w14:val="tx1"/>
            </w14:solidFill>
          </w14:textFill>
        </w:rPr>
        <w:t>各类突出贡献者。</w:t>
      </w:r>
    </w:p>
    <w:p w14:paraId="75124EF0">
      <w:pPr>
        <w:widowControl/>
        <w:spacing w:line="500" w:lineRule="exact"/>
        <w:ind w:firstLine="482" w:firstLineChars="200"/>
        <w:contextualSpacing/>
        <w:rPr>
          <w:rFonts w:ascii="楷体_GB2312" w:hAnsi="Times New Roman" w:eastAsia="楷体_GB2312" w:cs="Times New Roman"/>
          <w:b/>
          <w:color w:val="000000" w:themeColor="text1"/>
          <w:sz w:val="24"/>
          <w:szCs w:val="24"/>
          <w:lang w:eastAsia="zh-CN"/>
          <w14:textFill>
            <w14:solidFill>
              <w14:schemeClr w14:val="tx1"/>
            </w14:solidFill>
          </w14:textFill>
        </w:rPr>
      </w:pPr>
      <w:r>
        <w:rPr>
          <w:rFonts w:hint="eastAsia" w:ascii="楷体_GB2312" w:hAnsi="Times New Roman" w:eastAsia="楷体_GB2312" w:cs="Times New Roman"/>
          <w:b/>
          <w:color w:val="000000" w:themeColor="text1"/>
          <w:sz w:val="24"/>
          <w:szCs w:val="24"/>
          <w:lang w:eastAsia="zh-CN"/>
          <w14:textFill>
            <w14:solidFill>
              <w14:schemeClr w14:val="tx1"/>
            </w14:solidFill>
          </w14:textFill>
        </w:rPr>
        <w:t>3. 薪资住房待遇</w:t>
      </w:r>
    </w:p>
    <w:p w14:paraId="5A6B3749">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color w:val="000000" w:themeColor="text1"/>
          <w:sz w:val="24"/>
          <w:szCs w:val="24"/>
          <w:lang w:eastAsia="zh-CN"/>
          <w14:textFill>
            <w14:solidFill>
              <w14:schemeClr w14:val="tx1"/>
            </w14:solidFill>
          </w14:textFill>
        </w:rPr>
        <w:t>（1）博士后，在站期间全部纳入中国科学院特别研究助理岗位，在站期间聘为青年副研究员，税前年收入30万元人民币起，上不封顶；</w:t>
      </w:r>
    </w:p>
    <w:p w14:paraId="5E34CD26">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color w:val="000000" w:themeColor="text1"/>
          <w:sz w:val="24"/>
          <w:szCs w:val="24"/>
          <w:lang w:eastAsia="zh-CN"/>
          <w14:textFill>
            <w14:solidFill>
              <w14:schemeClr w14:val="tx1"/>
            </w14:solidFill>
          </w14:textFill>
        </w:rPr>
        <w:t>（2）博士后在站期间、3年内免费提供一套不超过70㎡的人才公寓；</w:t>
      </w:r>
    </w:p>
    <w:p w14:paraId="2AAF1EA5">
      <w:pPr>
        <w:widowControl/>
        <w:spacing w:line="500" w:lineRule="exact"/>
        <w:ind w:firstLine="480" w:firstLineChars="200"/>
        <w:contextualSpacing/>
        <w:rPr>
          <w:rFonts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仿宋_GB2312" w:hAnsi="Times New Roman" w:eastAsia="仿宋_GB2312" w:cs="Times New Roman"/>
          <w:color w:val="000000" w:themeColor="text1"/>
          <w:sz w:val="24"/>
          <w:szCs w:val="24"/>
          <w:lang w:eastAsia="zh-CN"/>
          <w14:textFill>
            <w14:solidFill>
              <w14:schemeClr w14:val="tx1"/>
            </w14:solidFill>
          </w14:textFill>
        </w:rPr>
        <w:t>（3）出站留所工作者，可根据科研能力选择不同类别科研岗位（基础科学研究、技术科学研究、工程技术研究）。</w:t>
      </w:r>
    </w:p>
    <w:p w14:paraId="1B3772BD">
      <w:pPr>
        <w:spacing w:line="500" w:lineRule="exact"/>
        <w:ind w:firstLine="480" w:firstLineChars="200"/>
        <w:contextualSpacing/>
        <w:rPr>
          <w:rFonts w:ascii="Times New Roman" w:hAnsi="Times New Roman" w:eastAsia="华文中宋" w:cs="Times New Roman"/>
          <w:color w:val="000000" w:themeColor="text1"/>
          <w:szCs w:val="21"/>
          <w:lang w:eastAsia="zh-CN"/>
          <w14:textFill>
            <w14:solidFill>
              <w14:schemeClr w14:val="tx1"/>
            </w14:solidFill>
          </w14:textFill>
        </w:rPr>
      </w:pPr>
      <w:r>
        <w:rPr>
          <w:rFonts w:hint="eastAsia" w:ascii="Times New Roman" w:hAnsi="Times New Roman" w:eastAsia="华文中宋" w:cs="Times New Roman"/>
          <w:b/>
          <w:color w:val="FF0000"/>
          <w:sz w:val="24"/>
          <w:lang w:eastAsia="zh-CN"/>
        </w:rPr>
        <w:t>★</w:t>
      </w:r>
      <w:r>
        <w:rPr>
          <w:rFonts w:hint="eastAsia" w:ascii="Times New Roman" w:hAnsi="Times New Roman" w:eastAsia="华文中宋" w:cs="Times New Roman"/>
          <w:b/>
          <w:color w:val="000000" w:themeColor="text1"/>
          <w:sz w:val="24"/>
          <w:lang w:eastAsia="zh-CN"/>
          <w14:textFill>
            <w14:solidFill>
              <w14:schemeClr w14:val="tx1"/>
            </w14:solidFill>
          </w14:textFill>
        </w:rPr>
        <w:t xml:space="preserve"> 其他</w:t>
      </w:r>
      <w:r>
        <w:rPr>
          <w:rFonts w:ascii="Times New Roman" w:hAnsi="Times New Roman" w:eastAsia="华文中宋" w:cs="Times New Roman"/>
          <w:b/>
          <w:color w:val="000000" w:themeColor="text1"/>
          <w:sz w:val="24"/>
          <w:lang w:eastAsia="zh-CN"/>
          <w14:textFill>
            <w14:solidFill>
              <w14:schemeClr w14:val="tx1"/>
            </w14:solidFill>
          </w14:textFill>
        </w:rPr>
        <w:t>福利</w:t>
      </w:r>
    </w:p>
    <w:p w14:paraId="39398B7C">
      <w:pPr>
        <w:spacing w:line="500" w:lineRule="exact"/>
        <w:ind w:firstLine="440" w:firstLineChars="200"/>
        <w:contextualSpacing/>
        <w:rPr>
          <w:rFonts w:ascii="Times New Roman" w:hAnsi="Times New Roman" w:eastAsia="华文中宋" w:cs="Times New Roman"/>
          <w:color w:val="000000" w:themeColor="text1"/>
          <w:szCs w:val="21"/>
          <w:lang w:eastAsia="zh-CN"/>
          <w14:textFill>
            <w14:solidFill>
              <w14:schemeClr w14:val="tx1"/>
            </w14:solidFill>
          </w14:textFill>
        </w:rPr>
      </w:pPr>
      <w:r>
        <w:rPr>
          <w:rFonts w:hint="eastAsia" w:ascii="Times New Roman" w:hAnsi="Times New Roman" w:eastAsia="华文中宋" w:cs="Times New Roman"/>
          <w:color w:val="000000" w:themeColor="text1"/>
          <w:szCs w:val="21"/>
          <w:lang w:eastAsia="zh-CN"/>
          <w14:textFill>
            <w14:solidFill>
              <w14:schemeClr w14:val="tx1"/>
            </w14:solidFill>
          </w14:textFill>
        </w:rPr>
        <w:t>建立完善的员工职业发展全周期的员工培训、晋升通道。提供全方位</w:t>
      </w:r>
      <w:r>
        <w:rPr>
          <w:rFonts w:ascii="Times New Roman" w:hAnsi="Times New Roman" w:eastAsia="华文中宋" w:cs="Times New Roman"/>
          <w:color w:val="000000" w:themeColor="text1"/>
          <w:szCs w:val="21"/>
          <w:lang w:eastAsia="zh-CN"/>
          <w14:textFill>
            <w14:solidFill>
              <w14:schemeClr w14:val="tx1"/>
            </w14:solidFill>
          </w14:textFill>
        </w:rPr>
        <w:t>3H（Health、House、Home）保障，包括</w:t>
      </w:r>
      <w:r>
        <w:rPr>
          <w:rFonts w:hint="eastAsia" w:ascii="Times New Roman" w:hAnsi="Times New Roman" w:eastAsia="华文中宋" w:cs="Times New Roman"/>
          <w:color w:val="000000" w:themeColor="text1"/>
          <w:szCs w:val="21"/>
          <w:lang w:eastAsia="zh-CN"/>
          <w14:textFill>
            <w14:solidFill>
              <w14:schemeClr w14:val="tx1"/>
            </w14:solidFill>
          </w14:textFill>
        </w:rPr>
        <w:t>但</w:t>
      </w:r>
      <w:r>
        <w:rPr>
          <w:rFonts w:ascii="Times New Roman" w:hAnsi="Times New Roman" w:eastAsia="华文中宋" w:cs="Times New Roman"/>
          <w:color w:val="000000" w:themeColor="text1"/>
          <w:szCs w:val="21"/>
          <w:lang w:eastAsia="zh-CN"/>
          <w14:textFill>
            <w14:solidFill>
              <w14:schemeClr w14:val="tx1"/>
            </w14:solidFill>
          </w14:textFill>
        </w:rPr>
        <w:t>不限于：社</w:t>
      </w:r>
      <w:r>
        <w:rPr>
          <w:rFonts w:hint="eastAsia" w:ascii="Times New Roman" w:hAnsi="Times New Roman" w:eastAsia="华文中宋" w:cs="Times New Roman"/>
          <w:color w:val="000000" w:themeColor="text1"/>
          <w:szCs w:val="21"/>
          <w:lang w:eastAsia="zh-CN"/>
          <w14:textFill>
            <w14:solidFill>
              <w14:schemeClr w14:val="tx1"/>
            </w14:solidFill>
          </w14:textFill>
        </w:rPr>
        <w:t>保</w:t>
      </w:r>
      <w:r>
        <w:rPr>
          <w:rFonts w:ascii="Times New Roman" w:hAnsi="Times New Roman" w:eastAsia="华文中宋" w:cs="Times New Roman"/>
          <w:color w:val="000000" w:themeColor="text1"/>
          <w:szCs w:val="21"/>
          <w:lang w:eastAsia="zh-CN"/>
          <w14:textFill>
            <w14:solidFill>
              <w14:schemeClr w14:val="tx1"/>
            </w14:solidFill>
          </w14:textFill>
        </w:rPr>
        <w:t>公积金、上海落户、补充商业保险</w:t>
      </w:r>
      <w:r>
        <w:rPr>
          <w:rFonts w:hint="eastAsia" w:ascii="Times New Roman" w:hAnsi="Times New Roman" w:eastAsia="华文中宋" w:cs="Times New Roman"/>
          <w:color w:val="000000" w:themeColor="text1"/>
          <w:szCs w:val="21"/>
          <w:lang w:eastAsia="zh-CN"/>
          <w14:textFill>
            <w14:solidFill>
              <w14:schemeClr w14:val="tx1"/>
            </w14:solidFill>
          </w14:textFill>
        </w:rPr>
        <w:t>、</w:t>
      </w:r>
      <w:r>
        <w:rPr>
          <w:rFonts w:ascii="Times New Roman" w:hAnsi="Times New Roman" w:eastAsia="华文中宋" w:cs="Times New Roman"/>
          <w:color w:val="000000" w:themeColor="text1"/>
          <w:szCs w:val="21"/>
          <w:lang w:eastAsia="zh-CN"/>
          <w14:textFill>
            <w14:solidFill>
              <w14:schemeClr w14:val="tx1"/>
            </w14:solidFill>
          </w14:textFill>
        </w:rPr>
        <w:t>员工住宿福利、免费体检、伙食补贴、年休假</w:t>
      </w:r>
      <w:r>
        <w:rPr>
          <w:rFonts w:hint="eastAsia"/>
          <w:lang w:eastAsia="zh-CN"/>
        </w:rPr>
        <w:t>、</w:t>
      </w:r>
      <w:r>
        <w:rPr>
          <w:rFonts w:ascii="Times New Roman" w:hAnsi="Times New Roman" w:eastAsia="华文中宋" w:cs="Times New Roman"/>
          <w:color w:val="000000" w:themeColor="text1"/>
          <w:szCs w:val="21"/>
          <w:lang w:eastAsia="zh-CN"/>
          <w14:textFill>
            <w14:solidFill>
              <w14:schemeClr w14:val="tx1"/>
            </w14:solidFill>
          </w14:textFill>
        </w:rPr>
        <w:t>协助子女入学、各项工会福利、团建等。</w:t>
      </w:r>
    </w:p>
    <w:p w14:paraId="6FA8F12E">
      <w:pPr>
        <w:spacing w:line="500" w:lineRule="exact"/>
        <w:ind w:firstLine="480" w:firstLineChars="200"/>
        <w:contextualSpacing/>
        <w:rPr>
          <w:rFonts w:ascii="Times New Roman" w:hAnsi="Times New Roman" w:eastAsia="华文中宋" w:cs="Times New Roman"/>
          <w:color w:val="000000" w:themeColor="text1"/>
          <w:szCs w:val="21"/>
          <w:lang w:eastAsia="zh-CN"/>
          <w14:textFill>
            <w14:solidFill>
              <w14:schemeClr w14:val="tx1"/>
            </w14:solidFill>
          </w14:textFill>
        </w:rPr>
      </w:pPr>
      <w:r>
        <w:rPr>
          <w:rFonts w:hint="eastAsia" w:ascii="Times New Roman" w:hAnsi="Times New Roman" w:eastAsia="华文中宋" w:cs="Times New Roman"/>
          <w:b/>
          <w:color w:val="FF0000"/>
          <w:sz w:val="24"/>
          <w:lang w:eastAsia="zh-CN"/>
        </w:rPr>
        <w:t>★</w:t>
      </w:r>
      <w:r>
        <w:rPr>
          <w:rFonts w:hint="eastAsia" w:ascii="Times New Roman" w:hAnsi="Times New Roman" w:eastAsia="华文中宋" w:cs="Times New Roman"/>
          <w:b/>
          <w:color w:val="000000" w:themeColor="text1"/>
          <w:sz w:val="24"/>
          <w:lang w:eastAsia="zh-CN"/>
          <w14:textFill>
            <w14:solidFill>
              <w14:schemeClr w14:val="tx1"/>
            </w14:solidFill>
          </w14:textFill>
        </w:rPr>
        <w:t xml:space="preserve"> 联系我们</w:t>
      </w:r>
    </w:p>
    <w:p w14:paraId="3F396972">
      <w:pPr>
        <w:pStyle w:val="2"/>
        <w:ind w:firstLine="440" w:firstLineChars="200"/>
        <w:rPr>
          <w:rFonts w:hint="eastAsia"/>
          <w:lang w:eastAsia="zh-CN"/>
        </w:rPr>
      </w:pPr>
      <w:r>
        <w:rPr>
          <w:rFonts w:ascii="Times New Roman" w:hAnsi="Times New Roman" w:eastAsia="华文中宋" w:cs="Times New Roman"/>
          <w:color w:val="000000" w:themeColor="text1"/>
          <w:szCs w:val="21"/>
          <w:lang w:eastAsia="zh-CN"/>
          <w14:textFill>
            <w14:solidFill>
              <w14:schemeClr w14:val="tx1"/>
            </w14:solidFill>
          </w14:textFill>
        </w:rPr>
        <w:t>单位地址：</w:t>
      </w:r>
      <w:r>
        <w:rPr>
          <w:rFonts w:hint="eastAsia"/>
          <w:lang w:eastAsia="zh-CN"/>
        </w:rPr>
        <w:t>上海市虹口区玉田路500号（虹口园区）</w:t>
      </w:r>
    </w:p>
    <w:p w14:paraId="188F1E72">
      <w:pPr>
        <w:pStyle w:val="2"/>
        <w:ind w:firstLine="1540" w:firstLineChars="700"/>
        <w:rPr>
          <w:rFonts w:ascii="Times New Roman" w:hAnsi="Times New Roman" w:eastAsia="华文中宋" w:cs="Times New Roman"/>
          <w:color w:val="000000" w:themeColor="text1"/>
          <w:szCs w:val="21"/>
          <w:lang w:eastAsia="zh-CN"/>
          <w14:textFill>
            <w14:solidFill>
              <w14:schemeClr w14:val="tx1"/>
            </w14:solidFill>
          </w14:textFill>
        </w:rPr>
      </w:pPr>
      <w:r>
        <w:rPr>
          <w:rFonts w:hint="eastAsia"/>
          <w:lang w:eastAsia="zh-CN"/>
        </w:rPr>
        <w:t>上海市嘉定区绿意路2398号（嘉定园区）</w:t>
      </w:r>
    </w:p>
    <w:p w14:paraId="458FC1B2">
      <w:pPr>
        <w:pStyle w:val="3"/>
        <w:spacing w:line="500" w:lineRule="exact"/>
        <w:ind w:firstLine="440" w:firstLineChars="200"/>
        <w:rPr>
          <w:rStyle w:val="11"/>
          <w:rFonts w:hint="eastAsia"/>
          <w:sz w:val="22"/>
          <w:szCs w:val="22"/>
          <w:lang w:eastAsia="zh-CN"/>
        </w:rPr>
      </w:pPr>
      <w:r>
        <w:rPr>
          <w:rFonts w:ascii="Times New Roman" w:hAnsi="Times New Roman" w:eastAsia="华文中宋" w:cs="Times New Roman"/>
          <w:color w:val="000000" w:themeColor="text1"/>
          <w:sz w:val="22"/>
          <w:lang w:eastAsia="zh-CN"/>
          <w14:textFill>
            <w14:solidFill>
              <w14:schemeClr w14:val="tx1"/>
            </w14:solidFill>
          </w14:textFill>
        </w:rPr>
        <w:t>简历投递：</w:t>
      </w:r>
      <w:r>
        <w:rPr>
          <w:rStyle w:val="11"/>
          <w:sz w:val="22"/>
          <w:szCs w:val="22"/>
        </w:rPr>
        <w:t>E-MAIL：</w:t>
      </w:r>
      <w:r>
        <w:fldChar w:fldCharType="begin"/>
      </w:r>
      <w:r>
        <w:instrText xml:space="preserve"> HYPERLINK "mailto:hr@mail.sitp.ac.cn" </w:instrText>
      </w:r>
      <w:r>
        <w:fldChar w:fldCharType="separate"/>
      </w:r>
      <w:r>
        <w:rPr>
          <w:rStyle w:val="11"/>
          <w:sz w:val="22"/>
          <w:szCs w:val="22"/>
          <w:lang w:eastAsia="zh-CN"/>
        </w:rPr>
        <w:t>hr</w:t>
      </w:r>
      <w:r>
        <w:rPr>
          <w:rStyle w:val="11"/>
          <w:sz w:val="22"/>
          <w:szCs w:val="22"/>
        </w:rPr>
        <w:t>@mail.sitp.ac.cn</w:t>
      </w:r>
      <w:r>
        <w:rPr>
          <w:rStyle w:val="11"/>
          <w:sz w:val="22"/>
          <w:szCs w:val="22"/>
        </w:rPr>
        <w:fldChar w:fldCharType="end"/>
      </w:r>
    </w:p>
    <w:p w14:paraId="3706B20A">
      <w:pPr>
        <w:pStyle w:val="3"/>
        <w:spacing w:line="500" w:lineRule="exact"/>
        <w:ind w:firstLine="420" w:firstLineChars="200"/>
        <w:rPr>
          <w:rStyle w:val="11"/>
          <w:rFonts w:hint="eastAsia"/>
          <w:sz w:val="22"/>
          <w:szCs w:val="22"/>
          <w:lang w:eastAsia="zh-CN"/>
        </w:rPr>
      </w:pPr>
      <w:r>
        <w:rPr>
          <w:rFonts w:ascii="Times New Roman" w:hAnsi="Times New Roman" w:eastAsia="华文中宋" w:cs="Times New Roman"/>
          <w:color w:val="000000" w:themeColor="text1"/>
          <w:lang w:eastAsia="zh-CN"/>
          <w14:textFill>
            <w14:solidFill>
              <w14:schemeClr w14:val="tx1"/>
            </w14:solidFill>
          </w14:textFill>
        </w:rPr>
        <w:t>联</w:t>
      </w:r>
      <w:r>
        <w:rPr>
          <w:rFonts w:hint="eastAsia" w:ascii="Times New Roman" w:hAnsi="Times New Roman" w:eastAsia="华文中宋" w:cs="Times New Roman"/>
          <w:color w:val="000000" w:themeColor="text1"/>
          <w:lang w:eastAsia="zh-CN"/>
          <w14:textFill>
            <w14:solidFill>
              <w14:schemeClr w14:val="tx1"/>
            </w14:solidFill>
          </w14:textFill>
        </w:rPr>
        <w:t xml:space="preserve">  </w:t>
      </w:r>
      <w:r>
        <w:rPr>
          <w:rFonts w:ascii="Times New Roman" w:hAnsi="Times New Roman" w:eastAsia="华文中宋" w:cs="Times New Roman"/>
          <w:color w:val="000000" w:themeColor="text1"/>
          <w:lang w:eastAsia="zh-CN"/>
          <w14:textFill>
            <w14:solidFill>
              <w14:schemeClr w14:val="tx1"/>
            </w14:solidFill>
          </w14:textFill>
        </w:rPr>
        <w:t>系</w:t>
      </w:r>
      <w:r>
        <w:rPr>
          <w:rFonts w:hint="eastAsia" w:ascii="Times New Roman" w:hAnsi="Times New Roman" w:eastAsia="华文中宋" w:cs="Times New Roman"/>
          <w:color w:val="000000" w:themeColor="text1"/>
          <w:lang w:eastAsia="zh-CN"/>
          <w14:textFill>
            <w14:solidFill>
              <w14:schemeClr w14:val="tx1"/>
            </w14:solidFill>
          </w14:textFill>
        </w:rPr>
        <w:t xml:space="preserve">  </w:t>
      </w:r>
      <w:r>
        <w:rPr>
          <w:rFonts w:ascii="Times New Roman" w:hAnsi="Times New Roman" w:eastAsia="华文中宋" w:cs="Times New Roman"/>
          <w:color w:val="000000" w:themeColor="text1"/>
          <w:lang w:eastAsia="zh-CN"/>
          <w14:textFill>
            <w14:solidFill>
              <w14:schemeClr w14:val="tx1"/>
            </w14:solidFill>
          </w14:textFill>
        </w:rPr>
        <w:t>人：</w:t>
      </w:r>
      <w:r>
        <w:rPr>
          <w:rStyle w:val="11"/>
          <w:rFonts w:hint="eastAsia"/>
          <w:sz w:val="22"/>
          <w:szCs w:val="22"/>
          <w:lang w:eastAsia="zh-CN"/>
        </w:rPr>
        <w:t>朱老师</w:t>
      </w:r>
      <w:r>
        <w:rPr>
          <w:rStyle w:val="11"/>
          <w:rFonts w:hint="eastAsia"/>
          <w:sz w:val="22"/>
          <w:szCs w:val="22"/>
          <w:u w:val="none"/>
          <w:lang w:eastAsia="zh-CN"/>
        </w:rPr>
        <w:t xml:space="preserve"> </w:t>
      </w:r>
      <w:r>
        <w:rPr>
          <w:rStyle w:val="11"/>
          <w:sz w:val="22"/>
          <w:szCs w:val="22"/>
          <w:u w:val="none"/>
          <w:lang w:eastAsia="zh-CN"/>
        </w:rPr>
        <w:t xml:space="preserve">   </w:t>
      </w:r>
      <w:r>
        <w:rPr>
          <w:rFonts w:ascii="Times New Roman" w:hAnsi="Times New Roman" w:eastAsia="华文中宋" w:cs="Times New Roman"/>
          <w:color w:val="000000" w:themeColor="text1"/>
          <w:lang w:eastAsia="zh-CN"/>
          <w14:textFill>
            <w14:solidFill>
              <w14:schemeClr w14:val="tx1"/>
            </w14:solidFill>
          </w14:textFill>
        </w:rPr>
        <w:t>联系电话：</w:t>
      </w:r>
      <w:r>
        <w:rPr>
          <w:rStyle w:val="11"/>
          <w:rFonts w:hint="eastAsia"/>
          <w:sz w:val="22"/>
          <w:szCs w:val="22"/>
          <w:lang w:eastAsia="zh-CN"/>
        </w:rPr>
        <w:t>021-25051032/1866</w:t>
      </w:r>
      <w:r>
        <w:rPr>
          <w:rStyle w:val="11"/>
          <w:sz w:val="22"/>
          <w:szCs w:val="22"/>
          <w:lang w:eastAsia="zh-CN"/>
        </w:rPr>
        <w:t>3888880</w:t>
      </w:r>
      <w:r>
        <w:rPr>
          <w:rStyle w:val="11"/>
          <w:rFonts w:hint="eastAsia"/>
          <w:sz w:val="22"/>
          <w:szCs w:val="22"/>
          <w:lang w:eastAsia="zh-CN"/>
        </w:rPr>
        <w:t>（微信同号）</w:t>
      </w:r>
    </w:p>
    <w:p w14:paraId="16E90473">
      <w:pPr>
        <w:pStyle w:val="3"/>
        <w:spacing w:before="240" w:beforeLines="100" w:line="500" w:lineRule="exact"/>
        <w:jc w:val="center"/>
        <w:rPr>
          <w:rFonts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pPr>
      <w:r>
        <w:rPr>
          <w:rFonts w:hint="eastAsia"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t>加强现实长程关联，携手探索未知之境</w:t>
      </w:r>
    </w:p>
    <w:p w14:paraId="045C68F4">
      <w:pPr>
        <w:pStyle w:val="3"/>
        <w:spacing w:before="240" w:beforeLines="100"/>
        <w:jc w:val="center"/>
        <w:rPr>
          <w:rFonts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pPr>
      <w:r>
        <w:rPr>
          <w:rFonts w:hint="eastAsia"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drawing>
          <wp:inline distT="0" distB="0" distL="114300" distR="114300">
            <wp:extent cx="2091690" cy="2091690"/>
            <wp:effectExtent l="0" t="0" r="11430" b="11430"/>
            <wp:docPr id="1" name="图片 1" descr="bc5db788f282ce7dff9fc4a1ed880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c5db788f282ce7dff9fc4a1ed880ce"/>
                    <pic:cNvPicPr>
                      <a:picLocks noChangeAspect="1"/>
                    </pic:cNvPicPr>
                  </pic:nvPicPr>
                  <pic:blipFill>
                    <a:blip r:embed="rId5"/>
                    <a:stretch>
                      <a:fillRect/>
                    </a:stretch>
                  </pic:blipFill>
                  <pic:spPr>
                    <a:xfrm>
                      <a:off x="0" y="0"/>
                      <a:ext cx="2091690" cy="2091690"/>
                    </a:xfrm>
                    <a:prstGeom prst="rect">
                      <a:avLst/>
                    </a:prstGeom>
                  </pic:spPr>
                </pic:pic>
              </a:graphicData>
            </a:graphic>
          </wp:inline>
        </w:drawing>
      </w:r>
    </w:p>
    <w:p w14:paraId="6832FC74">
      <w:pPr>
        <w:pStyle w:val="3"/>
        <w:spacing w:before="240" w:beforeLines="100"/>
        <w:jc w:val="center"/>
        <w:rPr>
          <w:rFonts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pPr>
      <w:r>
        <w:rPr>
          <w:rFonts w:hint="eastAsia" w:ascii="Times New Roman" w:hAnsi="Times New Roman" w:eastAsia="华文中宋" w:cs="Times New Roman"/>
          <w:color w:val="3333FF"/>
          <w:sz w:val="33"/>
          <w:lang w:eastAsia="zh-CN"/>
          <w14:textFill>
            <w14:gradFill>
              <w14:gsLst>
                <w14:gs w14:pos="21000">
                  <w14:srgbClr w14:val="53575C"/>
                </w14:gs>
                <w14:gs w14:pos="88000">
                  <w14:srgbClr w14:val="C5C7CA"/>
                </w14:gs>
              </w14:gsLst>
              <w14:lin w14:ang="5400000" w14:scaled="0"/>
            </w14:gradFill>
          </w14:textFill>
        </w:rPr>
        <w:t>（扫码投递简历）</w:t>
      </w:r>
    </w:p>
    <w:sectPr>
      <w:headerReference r:id="rId3" w:type="first"/>
      <w:pgSz w:w="11910" w:h="16840"/>
      <w:pgMar w:top="2098" w:right="1474" w:bottom="1985" w:left="1588" w:header="720" w:footer="720" w:gutter="0"/>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剪纸简体">
    <w:altName w:val="Malgun Gothic Semilight"/>
    <w:panose1 w:val="00000000000000000000"/>
    <w:charset w:val="86"/>
    <w:family w:val="script"/>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BA082">
    <w:pPr>
      <w:pStyle w:val="6"/>
      <w:rPr>
        <w:rFonts w:hint="eastAsia"/>
      </w:rPr>
    </w:pPr>
    <w:r>
      <w:drawing>
        <wp:inline distT="0" distB="0" distL="0" distR="0">
          <wp:extent cx="1753235" cy="393700"/>
          <wp:effectExtent l="0" t="0" r="0" b="6350"/>
          <wp:docPr id="76795480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954808" name="图片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70092" cy="3977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340"/>
    <w:rsid w:val="000040E1"/>
    <w:rsid w:val="00006BFE"/>
    <w:rsid w:val="00013B9E"/>
    <w:rsid w:val="000347BE"/>
    <w:rsid w:val="00036D93"/>
    <w:rsid w:val="0004188C"/>
    <w:rsid w:val="0005037E"/>
    <w:rsid w:val="000748BD"/>
    <w:rsid w:val="00076E7B"/>
    <w:rsid w:val="0007704E"/>
    <w:rsid w:val="00082E92"/>
    <w:rsid w:val="000C2886"/>
    <w:rsid w:val="000C30ED"/>
    <w:rsid w:val="000C3B26"/>
    <w:rsid w:val="000D71BC"/>
    <w:rsid w:val="000E0BD6"/>
    <w:rsid w:val="000E16FD"/>
    <w:rsid w:val="000E1D1A"/>
    <w:rsid w:val="000E2C0C"/>
    <w:rsid w:val="00132933"/>
    <w:rsid w:val="00133363"/>
    <w:rsid w:val="001515B9"/>
    <w:rsid w:val="0018272D"/>
    <w:rsid w:val="001F2FD6"/>
    <w:rsid w:val="00235584"/>
    <w:rsid w:val="002461C0"/>
    <w:rsid w:val="00253F4C"/>
    <w:rsid w:val="00296DA1"/>
    <w:rsid w:val="002B422D"/>
    <w:rsid w:val="002D069C"/>
    <w:rsid w:val="002D0B03"/>
    <w:rsid w:val="002D65D2"/>
    <w:rsid w:val="002E112A"/>
    <w:rsid w:val="00307CFF"/>
    <w:rsid w:val="003158D1"/>
    <w:rsid w:val="00322FEB"/>
    <w:rsid w:val="00324AA2"/>
    <w:rsid w:val="00342896"/>
    <w:rsid w:val="0034396C"/>
    <w:rsid w:val="00343B15"/>
    <w:rsid w:val="00343C62"/>
    <w:rsid w:val="00367DB4"/>
    <w:rsid w:val="003F3046"/>
    <w:rsid w:val="00434223"/>
    <w:rsid w:val="00461DC0"/>
    <w:rsid w:val="004741A8"/>
    <w:rsid w:val="004A3D39"/>
    <w:rsid w:val="004A731F"/>
    <w:rsid w:val="004B16AD"/>
    <w:rsid w:val="004C0A6C"/>
    <w:rsid w:val="004C18F8"/>
    <w:rsid w:val="004E3DD3"/>
    <w:rsid w:val="004F0A11"/>
    <w:rsid w:val="004F7C6C"/>
    <w:rsid w:val="00516A98"/>
    <w:rsid w:val="00537A13"/>
    <w:rsid w:val="00554E61"/>
    <w:rsid w:val="0056304B"/>
    <w:rsid w:val="00591E11"/>
    <w:rsid w:val="005961DB"/>
    <w:rsid w:val="0059684D"/>
    <w:rsid w:val="005D2821"/>
    <w:rsid w:val="005D2E70"/>
    <w:rsid w:val="005D3249"/>
    <w:rsid w:val="00607656"/>
    <w:rsid w:val="00635E8E"/>
    <w:rsid w:val="00643541"/>
    <w:rsid w:val="0065655B"/>
    <w:rsid w:val="006604FE"/>
    <w:rsid w:val="006662B3"/>
    <w:rsid w:val="00680A97"/>
    <w:rsid w:val="00697380"/>
    <w:rsid w:val="006B497E"/>
    <w:rsid w:val="006C7794"/>
    <w:rsid w:val="006E2272"/>
    <w:rsid w:val="006F0A16"/>
    <w:rsid w:val="00702C50"/>
    <w:rsid w:val="00704563"/>
    <w:rsid w:val="007053E3"/>
    <w:rsid w:val="00721AE4"/>
    <w:rsid w:val="00762B20"/>
    <w:rsid w:val="00767096"/>
    <w:rsid w:val="007B0C7D"/>
    <w:rsid w:val="007B74BD"/>
    <w:rsid w:val="007C00D5"/>
    <w:rsid w:val="007D125C"/>
    <w:rsid w:val="007F0386"/>
    <w:rsid w:val="007F15FF"/>
    <w:rsid w:val="0080265D"/>
    <w:rsid w:val="0083383D"/>
    <w:rsid w:val="0086624F"/>
    <w:rsid w:val="00872D4F"/>
    <w:rsid w:val="0088586F"/>
    <w:rsid w:val="008A2A66"/>
    <w:rsid w:val="008C066C"/>
    <w:rsid w:val="008C4A6D"/>
    <w:rsid w:val="008C57FF"/>
    <w:rsid w:val="00901E3A"/>
    <w:rsid w:val="00934D03"/>
    <w:rsid w:val="00947BE2"/>
    <w:rsid w:val="00980CA5"/>
    <w:rsid w:val="00981899"/>
    <w:rsid w:val="00984F00"/>
    <w:rsid w:val="0099519E"/>
    <w:rsid w:val="009B2601"/>
    <w:rsid w:val="009C7944"/>
    <w:rsid w:val="009D5750"/>
    <w:rsid w:val="009E5201"/>
    <w:rsid w:val="009E7B1A"/>
    <w:rsid w:val="00A4110E"/>
    <w:rsid w:val="00A43983"/>
    <w:rsid w:val="00A4476E"/>
    <w:rsid w:val="00A66905"/>
    <w:rsid w:val="00A91FFB"/>
    <w:rsid w:val="00AA574C"/>
    <w:rsid w:val="00AB689E"/>
    <w:rsid w:val="00AC3691"/>
    <w:rsid w:val="00AE1340"/>
    <w:rsid w:val="00AE2F5E"/>
    <w:rsid w:val="00B03120"/>
    <w:rsid w:val="00B123CA"/>
    <w:rsid w:val="00B55C64"/>
    <w:rsid w:val="00B60783"/>
    <w:rsid w:val="00B703AD"/>
    <w:rsid w:val="00B900B0"/>
    <w:rsid w:val="00BB6DD2"/>
    <w:rsid w:val="00BB70A7"/>
    <w:rsid w:val="00C01233"/>
    <w:rsid w:val="00C06C29"/>
    <w:rsid w:val="00CA114D"/>
    <w:rsid w:val="00CC32EA"/>
    <w:rsid w:val="00CD7CF2"/>
    <w:rsid w:val="00D04A0A"/>
    <w:rsid w:val="00D063AE"/>
    <w:rsid w:val="00D07501"/>
    <w:rsid w:val="00D20DDF"/>
    <w:rsid w:val="00D36702"/>
    <w:rsid w:val="00D378DB"/>
    <w:rsid w:val="00D56290"/>
    <w:rsid w:val="00D57B44"/>
    <w:rsid w:val="00D63158"/>
    <w:rsid w:val="00D6702B"/>
    <w:rsid w:val="00D674A6"/>
    <w:rsid w:val="00D80B77"/>
    <w:rsid w:val="00D84843"/>
    <w:rsid w:val="00DA19F7"/>
    <w:rsid w:val="00DA3095"/>
    <w:rsid w:val="00DA6B2C"/>
    <w:rsid w:val="00DA764F"/>
    <w:rsid w:val="00DD5C6E"/>
    <w:rsid w:val="00E16ECD"/>
    <w:rsid w:val="00E25928"/>
    <w:rsid w:val="00E33F23"/>
    <w:rsid w:val="00E53039"/>
    <w:rsid w:val="00E62D95"/>
    <w:rsid w:val="00E65CCA"/>
    <w:rsid w:val="00E74C03"/>
    <w:rsid w:val="00E83975"/>
    <w:rsid w:val="00E90F73"/>
    <w:rsid w:val="00E97D26"/>
    <w:rsid w:val="00EA0EE9"/>
    <w:rsid w:val="00EB185B"/>
    <w:rsid w:val="00EC7213"/>
    <w:rsid w:val="00ED7657"/>
    <w:rsid w:val="00EF27AC"/>
    <w:rsid w:val="00F02979"/>
    <w:rsid w:val="00F03731"/>
    <w:rsid w:val="00F26CDA"/>
    <w:rsid w:val="00F67962"/>
    <w:rsid w:val="00F9041B"/>
    <w:rsid w:val="00FA5265"/>
    <w:rsid w:val="00FA566F"/>
    <w:rsid w:val="00FB7B5A"/>
    <w:rsid w:val="00FC3D56"/>
    <w:rsid w:val="00FD11B4"/>
    <w:rsid w:val="0AD060D1"/>
    <w:rsid w:val="0F8D1771"/>
    <w:rsid w:val="167249A7"/>
    <w:rsid w:val="17E256C1"/>
    <w:rsid w:val="1848454A"/>
    <w:rsid w:val="1A7F0836"/>
    <w:rsid w:val="1EE86FD3"/>
    <w:rsid w:val="215D6808"/>
    <w:rsid w:val="26F11EC9"/>
    <w:rsid w:val="2BA81EDA"/>
    <w:rsid w:val="35DC779C"/>
    <w:rsid w:val="4F934F18"/>
    <w:rsid w:val="4FD1326A"/>
    <w:rsid w:val="545B37EE"/>
    <w:rsid w:val="56CB1B36"/>
    <w:rsid w:val="57C40364"/>
    <w:rsid w:val="5978692D"/>
    <w:rsid w:val="5FF74F15"/>
    <w:rsid w:val="67ED7244"/>
    <w:rsid w:val="6B0E292D"/>
    <w:rsid w:val="6EB851BA"/>
    <w:rsid w:val="77D87447"/>
    <w:rsid w:val="79D75927"/>
    <w:rsid w:val="79FB5603"/>
    <w:rsid w:val="7BB739AD"/>
    <w:rsid w:val="7DF80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style>
  <w:style w:type="paragraph" w:styleId="3">
    <w:name w:val="Body Text"/>
    <w:basedOn w:val="1"/>
    <w:qFormat/>
    <w:uiPriority w:val="1"/>
    <w:rPr>
      <w:sz w:val="21"/>
      <w:szCs w:val="21"/>
    </w:r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autoSpaceDE/>
      <w:autoSpaceDN/>
      <w:spacing w:before="100" w:beforeAutospacing="1" w:after="100" w:afterAutospacing="1"/>
    </w:pPr>
    <w:rPr>
      <w:color w:val="000000"/>
      <w:sz w:val="24"/>
      <w:szCs w:val="24"/>
      <w:lang w:eastAsia="zh-CN"/>
    </w:rPr>
  </w:style>
  <w:style w:type="table" w:styleId="9">
    <w:name w:val="Table Grid"/>
    <w:basedOn w:val="8"/>
    <w:qFormat/>
    <w:uiPriority w:val="59"/>
    <w:rPr>
      <w:kern w:val="2"/>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qFormat/>
    <w:uiPriority w:val="0"/>
    <w:rPr>
      <w:color w:val="0000FF"/>
      <w:u w:val="single"/>
    </w:r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34"/>
    <w:pPr>
      <w:ind w:left="1150" w:right="474" w:hanging="333"/>
    </w:pPr>
  </w:style>
  <w:style w:type="paragraph" w:customStyle="1" w:styleId="14">
    <w:name w:val="Table Paragraph"/>
    <w:basedOn w:val="1"/>
    <w:qFormat/>
    <w:uiPriority w:val="1"/>
  </w:style>
  <w:style w:type="character" w:customStyle="1" w:styleId="15">
    <w:name w:val="页眉 字符"/>
    <w:basedOn w:val="10"/>
    <w:link w:val="6"/>
    <w:qFormat/>
    <w:uiPriority w:val="99"/>
    <w:rPr>
      <w:rFonts w:ascii="宋体" w:hAnsi="宋体" w:eastAsia="宋体" w:cs="宋体"/>
      <w:sz w:val="18"/>
      <w:szCs w:val="18"/>
    </w:rPr>
  </w:style>
  <w:style w:type="character" w:customStyle="1" w:styleId="16">
    <w:name w:val="页脚 字符"/>
    <w:basedOn w:val="10"/>
    <w:link w:val="5"/>
    <w:qFormat/>
    <w:uiPriority w:val="99"/>
    <w:rPr>
      <w:rFonts w:ascii="宋体" w:hAnsi="宋体" w:eastAsia="宋体" w:cs="宋体"/>
      <w:sz w:val="18"/>
      <w:szCs w:val="18"/>
    </w:rPr>
  </w:style>
  <w:style w:type="character" w:customStyle="1" w:styleId="17">
    <w:name w:val="批注框文本 字符"/>
    <w:basedOn w:val="10"/>
    <w:link w:val="4"/>
    <w:semiHidden/>
    <w:qFormat/>
    <w:uiPriority w:val="99"/>
    <w:rPr>
      <w:rFonts w:ascii="宋体" w:hAnsi="宋体" w:eastAsia="宋体" w:cs="宋体"/>
      <w:sz w:val="18"/>
      <w:szCs w:val="18"/>
    </w:rPr>
  </w:style>
  <w:style w:type="character" w:customStyle="1" w:styleId="18">
    <w:name w:val="未处理的提及1"/>
    <w:basedOn w:val="10"/>
    <w:semiHidden/>
    <w:unhideWhenUsed/>
    <w:qFormat/>
    <w:uiPriority w:val="99"/>
    <w:rPr>
      <w:color w:val="605E5C"/>
      <w:shd w:val="clear" w:color="auto" w:fill="E1DFDD"/>
    </w:rPr>
  </w:style>
  <w:style w:type="paragraph" w:customStyle="1" w:styleId="19">
    <w:name w:val="Revision"/>
    <w:hidden/>
    <w:unhideWhenUsed/>
    <w:qFormat/>
    <w:uiPriority w:val="99"/>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F0734-7864-4DF1-B8E1-7B912C4C5E6A}">
  <ds:schemaRefs/>
</ds:datastoreItem>
</file>

<file path=docProps/app.xml><?xml version="1.0" encoding="utf-8"?>
<Properties xmlns="http://schemas.openxmlformats.org/officeDocument/2006/extended-properties" xmlns:vt="http://schemas.openxmlformats.org/officeDocument/2006/docPropsVTypes">
  <Template>Normal</Template>
  <Pages>6</Pages>
  <Words>2675</Words>
  <Characters>2813</Characters>
  <Lines>114</Lines>
  <Paragraphs>129</Paragraphs>
  <TotalTime>21</TotalTime>
  <ScaleCrop>false</ScaleCrop>
  <LinksUpToDate>false</LinksUpToDate>
  <CharactersWithSpaces>2911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2025-08-20T04:26:00Z</dcterms:created>
  <dc:creator>Jessie Li</dc:creator>
  <cp:lastModifiedBy>苏叶柝柝</cp:lastModifiedBy>
  <cp:lastPrinted>2025-08-20T04:00:00Z</cp:lastPrinted>
  <dcterms:modified xsi:type="dcterms:W3CDTF">2025-08-21T06:49:14Z</dcterms:modified>
  <dc:title>&lt;BAECCDE2CAD3BDE7&gt;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2020-10-12T00:00:00Z</vt:filetime>
  </property>
  <property fmtid="{D5CDD505-2E9C-101B-9397-08002B2CF9AE}" pid="3" name="Creator">
    <vt:lpwstr>PScript5.dll Version 5.2.2</vt:lpwstr>
  </property>
  <property fmtid="{D5CDD505-2E9C-101B-9397-08002B2CF9AE}" pid="4" name="LastSaved">
    <vt:filetime>2020-10-12T00:00:00Z</vt:filetime>
  </property>
  <property fmtid="{D5CDD505-2E9C-101B-9397-08002B2CF9AE}" pid="5" name="KSOTemplateDocerSaveRecord">
    <vt:lpwstr>eyJoZGlkIjoiYTZjODkwMmJkN2NjZGE2NzM0M2UzN2QwY2IxMWQ3MWIiLCJ1c2VySWQiOiIzNzk5OTg2NjAifQ==</vt:lpwstr>
  </property>
  <property fmtid="{D5CDD505-2E9C-101B-9397-08002B2CF9AE}" pid="6" name="KSOProductBuildVer">
    <vt:lpwstr>2052-12.1.0.21915</vt:lpwstr>
  </property>
  <property fmtid="{D5CDD505-2E9C-101B-9397-08002B2CF9AE}" pid="7" name="ICV">
    <vt:lpwstr>02D14BB769C24310A37310EAB3245525_13</vt:lpwstr>
  </property>
</Properties>
</file>