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eastAsia="方正小标宋简体"/>
          <w:color w:val="FF0000"/>
          <w:sz w:val="64"/>
          <w:szCs w:val="64"/>
        </w:rPr>
      </w:pPr>
      <w:r>
        <w:rPr>
          <w:rFonts w:hint="eastAsia"/>
        </w:rPr>
        <mc:AlternateContent>
          <mc:Choice Requires="wps">
            <w:drawing>
              <wp:anchor distT="0" distB="0" distL="114300" distR="114300" simplePos="0" relativeHeight="251659264" behindDoc="0" locked="0" layoutInCell="1" allowOverlap="1">
                <wp:simplePos x="0" y="0"/>
                <wp:positionH relativeFrom="column">
                  <wp:posOffset>-93980</wp:posOffset>
                </wp:positionH>
                <wp:positionV relativeFrom="paragraph">
                  <wp:posOffset>750570</wp:posOffset>
                </wp:positionV>
                <wp:extent cx="5524500" cy="0"/>
                <wp:effectExtent l="0" t="0" r="0" b="0"/>
                <wp:wrapNone/>
                <wp:docPr id="1" name="直接连接符 1"/>
                <wp:cNvGraphicFramePr/>
                <a:graphic xmlns:a="http://schemas.openxmlformats.org/drawingml/2006/main">
                  <a:graphicData uri="http://schemas.microsoft.com/office/word/2010/wordprocessingShape">
                    <wps:wsp>
                      <wps:cNvCnPr/>
                      <wps:spPr>
                        <a:xfrm flipV="true">
                          <a:off x="0" y="0"/>
                          <a:ext cx="5524500" cy="0"/>
                        </a:xfrm>
                        <a:prstGeom prst="line">
                          <a:avLst/>
                        </a:prstGeom>
                        <a:ln w="12700" cap="flat" cmpd="sng">
                          <a:solidFill>
                            <a:srgbClr val="FF0000"/>
                          </a:solidFill>
                          <a:prstDash val="solid"/>
                          <a:headEnd type="none" w="med" len="med"/>
                          <a:tailEnd type="none" w="med" len="med"/>
                        </a:ln>
                      </wps:spPr>
                      <wps:bodyPr upright="true"/>
                    </wps:wsp>
                  </a:graphicData>
                </a:graphic>
              </wp:anchor>
            </w:drawing>
          </mc:Choice>
          <mc:Fallback>
            <w:pict>
              <v:line id="_x0000_s1026" o:spid="_x0000_s1026" o:spt="20" style="position:absolute;left:0pt;flip:y;margin-left:-7.4pt;margin-top:59.1pt;height:0pt;width:435pt;z-index:251659264;mso-width-relative:page;mso-height-relative:page;" filled="f" stroked="t" coordsize="21600,21600" o:gfxdata="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FgAAAGRycy9Q&#10;SwECFAAUAAAACACHTuJA7Dso2tcAAAALAQAADwAAAAAAAAABACAAAAA4AAAAZHJzL2Rvd25yZXYu&#10;eG1sUEsBAhQAFAAAAAgAh07iQA2GEY/mAQAApwMAAA4AAAAAAAAAAQAgAAAAPAEAAGRycy9lMm9E&#10;b2MueG1sUEsFBgAAAAAGAAYAWQEAAJQFAAAAAA==&#10;">
                <v:fill on="f" focussize="0,0"/>
                <v:stroke weight="1pt" color="#FF0000" joinstyle="round"/>
                <v:imagedata o:title=""/>
                <o:lock v:ext="edit" aspectratio="f"/>
              </v:line>
            </w:pict>
          </mc:Fallback>
        </mc:AlternateContent>
      </w:r>
      <w:r>
        <w:rPr>
          <w:rFonts w:hint="eastAsia"/>
        </w:rPr>
        <mc:AlternateContent>
          <mc:Choice Requires="wps">
            <w:drawing>
              <wp:anchor distT="0" distB="0" distL="114300" distR="114300" simplePos="0" relativeHeight="251658240" behindDoc="0" locked="0" layoutInCell="1" allowOverlap="1">
                <wp:simplePos x="0" y="0"/>
                <wp:positionH relativeFrom="column">
                  <wp:posOffset>-84455</wp:posOffset>
                </wp:positionH>
                <wp:positionV relativeFrom="paragraph">
                  <wp:posOffset>712470</wp:posOffset>
                </wp:positionV>
                <wp:extent cx="5524500" cy="0"/>
                <wp:effectExtent l="0" t="13970" r="0" b="24130"/>
                <wp:wrapNone/>
                <wp:docPr id="2" name="直接连接符 2"/>
                <wp:cNvGraphicFramePr/>
                <a:graphic xmlns:a="http://schemas.openxmlformats.org/drawingml/2006/main">
                  <a:graphicData uri="http://schemas.microsoft.com/office/word/2010/wordprocessingShape">
                    <wps:wsp>
                      <wps:cNvCnPr/>
                      <wps:spPr>
                        <a:xfrm flipV="true">
                          <a:off x="0" y="0"/>
                          <a:ext cx="5524500" cy="0"/>
                        </a:xfrm>
                        <a:prstGeom prst="line">
                          <a:avLst/>
                        </a:prstGeom>
                        <a:ln w="28575" cap="flat" cmpd="sng">
                          <a:solidFill>
                            <a:srgbClr val="FF0000"/>
                          </a:solidFill>
                          <a:prstDash val="solid"/>
                          <a:headEnd type="none" w="med" len="med"/>
                          <a:tailEnd type="none" w="med" len="med"/>
                        </a:ln>
                      </wps:spPr>
                      <wps:bodyPr upright="true"/>
                    </wps:wsp>
                  </a:graphicData>
                </a:graphic>
              </wp:anchor>
            </w:drawing>
          </mc:Choice>
          <mc:Fallback>
            <w:pict>
              <v:line id="_x0000_s1026" o:spid="_x0000_s1026" o:spt="20" style="position:absolute;left:0pt;flip:y;margin-left:-6.65pt;margin-top:56.1pt;height:0pt;width:435pt;z-index:251658240;mso-width-relative:page;mso-height-relative:page;" filled="f" stroked="t" coordsize="21600,21600" o:gfxdata="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BYAAABk&#10;cnMvUEsBAhQAFAAAAAgAh07iQMo4e3zaAAAACwEAAA8AAAAAAAAAAQAgAAAAOAAAAGRycy9kb3du&#10;cmV2LnhtbFBLAQIUABQAAAAIAIdO4kCxcOe95wEAAKcDAAAOAAAAAAAAAAEAIAAAAD8BAABkcnMv&#10;ZTJvRG9jLnhtbFBLBQYAAAAABgAGAFkBAACYBQAAAAA=&#10;">
                <v:fill on="f" focussize="0,0"/>
                <v:stroke weight="2.25pt" color="#FF0000" joinstyle="round"/>
                <v:imagedata o:title=""/>
                <o:lock v:ext="edit" aspectratio="f"/>
              </v:line>
            </w:pict>
          </mc:Fallback>
        </mc:AlternateContent>
      </w:r>
      <w:r>
        <w:rPr>
          <w:rFonts w:hint="eastAsia" w:ascii="方正小标宋简体" w:eastAsia="方正小标宋简体"/>
          <w:color w:val="FF0000"/>
          <w:sz w:val="64"/>
          <w:szCs w:val="64"/>
        </w:rPr>
        <w:t>中 共 绍 兴 市 委 党 校</w:t>
      </w:r>
    </w:p>
    <w:p>
      <w:pPr>
        <w:keepNext w:val="0"/>
        <w:keepLines w:val="0"/>
        <w:pageBreakBefore w:val="0"/>
        <w:widowControl/>
        <w:kinsoku/>
        <w:wordWrap/>
        <w:overflowPunct/>
        <w:topLinePunct w:val="0"/>
        <w:autoSpaceDE/>
        <w:autoSpaceDN/>
        <w:bidi w:val="0"/>
        <w:adjustRightInd/>
        <w:snapToGrid/>
        <w:spacing w:line="500" w:lineRule="exact"/>
        <w:jc w:val="both"/>
        <w:textAlignment w:val="auto"/>
        <w:rPr>
          <w:rFonts w:hint="eastAsia" w:ascii="方正小标宋_GBK" w:hAnsi="方正小标宋_GBK" w:eastAsia="方正小标宋_GBK" w:cs="方正小标宋_GBK"/>
          <w:b w:val="0"/>
          <w:bCs w:val="0"/>
          <w:color w:val="auto"/>
          <w:kern w:val="0"/>
          <w:sz w:val="44"/>
          <w:szCs w:val="44"/>
        </w:rPr>
      </w:pPr>
    </w:p>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方正小标宋_GBK" w:hAnsi="方正小标宋_GBK" w:eastAsia="方正小标宋_GBK" w:cs="方正小标宋_GBK"/>
          <w:b w:val="0"/>
          <w:bCs w:val="0"/>
          <w:color w:val="auto"/>
          <w:kern w:val="0"/>
          <w:sz w:val="44"/>
          <w:szCs w:val="44"/>
        </w:rPr>
      </w:pPr>
    </w:p>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方正小标宋_GBK" w:hAnsi="方正小标宋_GBK" w:eastAsia="方正小标宋_GBK" w:cs="方正小标宋_GBK"/>
          <w:b w:val="0"/>
          <w:bCs w:val="0"/>
          <w:color w:val="auto"/>
          <w:kern w:val="0"/>
          <w:sz w:val="44"/>
          <w:szCs w:val="44"/>
        </w:rPr>
      </w:pPr>
      <w:r>
        <w:rPr>
          <w:rFonts w:hint="eastAsia" w:ascii="方正小标宋_GBK" w:hAnsi="方正小标宋_GBK" w:eastAsia="方正小标宋_GBK" w:cs="方正小标宋_GBK"/>
          <w:b w:val="0"/>
          <w:bCs w:val="0"/>
          <w:color w:val="auto"/>
          <w:kern w:val="0"/>
          <w:sz w:val="44"/>
          <w:szCs w:val="44"/>
        </w:rPr>
        <w:t>中共绍兴市委党校（绍兴市行政学院）</w:t>
      </w:r>
    </w:p>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方正小标宋_GBK" w:hAnsi="方正小标宋_GBK" w:eastAsia="方正小标宋_GBK" w:cs="方正小标宋_GBK"/>
          <w:b w:val="0"/>
          <w:bCs w:val="0"/>
          <w:color w:val="auto"/>
          <w:spacing w:val="-14"/>
          <w:kern w:val="0"/>
          <w:sz w:val="44"/>
          <w:szCs w:val="44"/>
          <w:lang w:eastAsia="zh-CN"/>
        </w:rPr>
      </w:pPr>
      <w:r>
        <w:rPr>
          <w:rFonts w:hint="eastAsia" w:ascii="方正小标宋_GBK" w:hAnsi="方正小标宋_GBK" w:eastAsia="方正小标宋_GBK" w:cs="方正小标宋_GBK"/>
          <w:b w:val="0"/>
          <w:bCs w:val="0"/>
          <w:color w:val="auto"/>
          <w:spacing w:val="-14"/>
          <w:kern w:val="0"/>
          <w:sz w:val="44"/>
          <w:szCs w:val="44"/>
        </w:rPr>
        <w:t>20</w:t>
      </w:r>
      <w:r>
        <w:rPr>
          <w:rFonts w:hint="eastAsia" w:ascii="方正小标宋_GBK" w:hAnsi="方正小标宋_GBK" w:eastAsia="方正小标宋_GBK" w:cs="方正小标宋_GBK"/>
          <w:b w:val="0"/>
          <w:bCs w:val="0"/>
          <w:color w:val="auto"/>
          <w:spacing w:val="-14"/>
          <w:kern w:val="0"/>
          <w:sz w:val="44"/>
          <w:szCs w:val="44"/>
          <w:lang w:val="en-US" w:eastAsia="zh-CN"/>
        </w:rPr>
        <w:t>25</w:t>
      </w:r>
      <w:r>
        <w:rPr>
          <w:rFonts w:hint="eastAsia" w:ascii="方正小标宋_GBK" w:hAnsi="方正小标宋_GBK" w:eastAsia="方正小标宋_GBK" w:cs="方正小标宋_GBK"/>
          <w:b w:val="0"/>
          <w:bCs w:val="0"/>
          <w:color w:val="auto"/>
          <w:spacing w:val="-14"/>
          <w:kern w:val="0"/>
          <w:sz w:val="44"/>
          <w:szCs w:val="44"/>
        </w:rPr>
        <w:t>年公开招聘</w:t>
      </w:r>
      <w:r>
        <w:rPr>
          <w:rFonts w:hint="eastAsia" w:ascii="方正小标宋_GBK" w:hAnsi="方正小标宋_GBK" w:eastAsia="方正小标宋_GBK" w:cs="方正小标宋_GBK"/>
          <w:b w:val="0"/>
          <w:bCs w:val="0"/>
          <w:color w:val="auto"/>
          <w:spacing w:val="-14"/>
          <w:kern w:val="0"/>
          <w:sz w:val="44"/>
          <w:szCs w:val="44"/>
          <w:lang w:eastAsia="zh-CN"/>
        </w:rPr>
        <w:t>专业技术人员</w:t>
      </w:r>
      <w:r>
        <w:rPr>
          <w:rFonts w:hint="eastAsia" w:ascii="方正小标宋_GBK" w:hAnsi="方正小标宋_GBK" w:eastAsia="方正小标宋_GBK" w:cs="方正小标宋_GBK"/>
          <w:b w:val="0"/>
          <w:bCs w:val="0"/>
          <w:color w:val="auto"/>
          <w:spacing w:val="-14"/>
          <w:kern w:val="0"/>
          <w:sz w:val="44"/>
          <w:szCs w:val="44"/>
        </w:rPr>
        <w:t>公告</w:t>
      </w:r>
      <w:r>
        <w:rPr>
          <w:rFonts w:hint="eastAsia" w:ascii="方正小标宋_GBK" w:hAnsi="方正小标宋_GBK" w:eastAsia="方正小标宋_GBK" w:cs="方正小标宋_GBK"/>
          <w:b w:val="0"/>
          <w:bCs w:val="0"/>
          <w:color w:val="auto"/>
          <w:spacing w:val="-14"/>
          <w:kern w:val="0"/>
          <w:sz w:val="44"/>
          <w:szCs w:val="44"/>
          <w:lang w:eastAsia="zh-CN"/>
        </w:rPr>
        <w:t>（第二轮）</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因工作需要，绍兴市委党校（绍兴市行政学院）决定面向社会公开招聘1名专业技术人员（事业编制）。现将有关事项公告如下：</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Chars="0" w:right="0" w:rightChars="0" w:firstLine="600" w:firstLineChars="200"/>
        <w:jc w:val="both"/>
        <w:textAlignment w:val="auto"/>
        <w:rPr>
          <w:rStyle w:val="7"/>
          <w:rFonts w:hint="eastAsia" w:ascii="黑体" w:hAnsi="黑体" w:eastAsia="黑体" w:cs="黑体"/>
          <w:b w:val="0"/>
          <w:bCs/>
          <w:i w:val="0"/>
          <w:caps w:val="0"/>
          <w:color w:val="000000"/>
          <w:spacing w:val="0"/>
          <w:sz w:val="30"/>
          <w:szCs w:val="30"/>
        </w:rPr>
      </w:pPr>
      <w:r>
        <w:rPr>
          <w:rStyle w:val="7"/>
          <w:rFonts w:hint="eastAsia" w:ascii="黑体" w:hAnsi="黑体" w:eastAsia="黑体" w:cs="黑体"/>
          <w:b w:val="0"/>
          <w:bCs/>
          <w:i w:val="0"/>
          <w:caps w:val="0"/>
          <w:color w:val="000000"/>
          <w:spacing w:val="0"/>
          <w:sz w:val="30"/>
          <w:szCs w:val="30"/>
          <w:lang w:eastAsia="zh-CN"/>
        </w:rPr>
        <w:t>一、</w:t>
      </w:r>
      <w:r>
        <w:rPr>
          <w:rStyle w:val="7"/>
          <w:rFonts w:hint="eastAsia" w:ascii="黑体" w:hAnsi="黑体" w:eastAsia="黑体" w:cs="黑体"/>
          <w:b w:val="0"/>
          <w:bCs/>
          <w:i w:val="0"/>
          <w:caps w:val="0"/>
          <w:color w:val="000000"/>
          <w:spacing w:val="0"/>
          <w:sz w:val="30"/>
          <w:szCs w:val="30"/>
        </w:rPr>
        <w:t>校（院）简介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auto"/>
          <w:kern w:val="2"/>
          <w:sz w:val="28"/>
          <w:szCs w:val="28"/>
          <w:highlight w:val="none"/>
          <w:lang w:val="en-US" w:eastAsia="zh-CN" w:bidi="ar-SA"/>
        </w:rPr>
        <w:t>中共绍兴市委党校（绍兴市行政学院）是市委领导下的培训领导干部和</w:t>
      </w: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优秀中青年干部的学校，是党的思想理论建设的重要阵地，是市委市政府的哲学社会科学研究机构和重要智库。下设20个内设机构，其中教研机构为哲学与科社、经济学、党史党建、公共管理与法学、文化与统战等5个教研室和“枫桥经验”、党建、人才发展等3个研究中心。现有博士研究生27人,正高级职称7人,副高级职称22人。</w:t>
      </w:r>
    </w:p>
    <w:tbl>
      <w:tblPr>
        <w:tblStyle w:val="5"/>
        <w:tblpPr w:leftFromText="180" w:rightFromText="180" w:vertAnchor="text" w:horzAnchor="page" w:tblpXSpec="center" w:tblpY="555"/>
        <w:tblOverlap w:val="never"/>
        <w:tblW w:w="7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845"/>
        <w:gridCol w:w="2293"/>
        <w:gridCol w:w="1425"/>
        <w:gridCol w:w="2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15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bCs/>
                <w:color w:val="000000" w:themeColor="text1"/>
                <w:sz w:val="24"/>
                <w:szCs w:val="32"/>
                <w:lang w:val="en" w:eastAsia="zh-CN"/>
                <w14:textFill>
                  <w14:solidFill>
                    <w14:schemeClr w14:val="tx1"/>
                  </w14:solidFill>
                </w14:textFill>
              </w:rPr>
            </w:pPr>
            <w:r>
              <w:rPr>
                <w:rFonts w:hint="eastAsia" w:ascii="仿宋_GB2312" w:hAnsi="仿宋_GB2312" w:eastAsia="仿宋_GB2312" w:cs="仿宋_GB2312"/>
                <w:b/>
                <w:bCs/>
                <w:color w:val="000000" w:themeColor="text1"/>
                <w:sz w:val="24"/>
                <w:szCs w:val="32"/>
                <w:lang w:val="en" w:eastAsia="zh-CN"/>
                <w14:textFill>
                  <w14:solidFill>
                    <w14:schemeClr w14:val="tx1"/>
                  </w14:solidFill>
                </w14:textFill>
              </w:rPr>
              <w:t>岗位</w:t>
            </w:r>
          </w:p>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bCs/>
                <w:color w:val="000000" w:themeColor="text1"/>
                <w:sz w:val="24"/>
                <w:szCs w:val="32"/>
                <w:lang w:val="en" w:eastAsia="zh-CN"/>
                <w14:textFill>
                  <w14:solidFill>
                    <w14:schemeClr w14:val="tx1"/>
                  </w14:solidFill>
                </w14:textFill>
              </w:rPr>
            </w:pPr>
            <w:r>
              <w:rPr>
                <w:rFonts w:hint="eastAsia" w:ascii="仿宋_GB2312" w:hAnsi="仿宋_GB2312" w:eastAsia="仿宋_GB2312" w:cs="仿宋_GB2312"/>
                <w:b/>
                <w:bCs/>
                <w:color w:val="000000" w:themeColor="text1"/>
                <w:sz w:val="24"/>
                <w:szCs w:val="32"/>
                <w:lang w:val="en" w:eastAsia="zh-CN"/>
                <w14:textFill>
                  <w14:solidFill>
                    <w14:schemeClr w14:val="tx1"/>
                  </w14:solidFill>
                </w14:textFill>
              </w:rPr>
              <w:t>名称</w:t>
            </w:r>
          </w:p>
        </w:tc>
        <w:tc>
          <w:tcPr>
            <w:tcW w:w="8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bCs/>
                <w:color w:val="000000" w:themeColor="text1"/>
                <w:sz w:val="24"/>
                <w:szCs w:val="32"/>
                <w:lang w:val="en" w:eastAsia="zh-CN"/>
                <w14:textFill>
                  <w14:solidFill>
                    <w14:schemeClr w14:val="tx1"/>
                  </w14:solidFill>
                </w14:textFill>
              </w:rPr>
            </w:pPr>
            <w:r>
              <w:rPr>
                <w:rFonts w:hint="eastAsia" w:ascii="仿宋_GB2312" w:hAnsi="仿宋_GB2312" w:eastAsia="仿宋_GB2312" w:cs="仿宋_GB2312"/>
                <w:b/>
                <w:bCs/>
                <w:color w:val="000000" w:themeColor="text1"/>
                <w:sz w:val="24"/>
                <w:szCs w:val="32"/>
                <w:lang w:val="en" w:eastAsia="zh-CN"/>
                <w14:textFill>
                  <w14:solidFill>
                    <w14:schemeClr w14:val="tx1"/>
                  </w14:solidFill>
                </w14:textFill>
              </w:rPr>
              <w:t>人数</w:t>
            </w:r>
          </w:p>
        </w:tc>
        <w:tc>
          <w:tcPr>
            <w:tcW w:w="229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bCs/>
                <w:color w:val="000000" w:themeColor="text1"/>
                <w:sz w:val="24"/>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sz w:val="24"/>
                <w:szCs w:val="32"/>
                <w:lang w:val="en" w:eastAsia="zh-CN"/>
                <w14:textFill>
                  <w14:solidFill>
                    <w14:schemeClr w14:val="tx1"/>
                  </w14:solidFill>
                </w14:textFill>
              </w:rPr>
              <w:t>专业要求</w:t>
            </w:r>
          </w:p>
        </w:tc>
        <w:tc>
          <w:tcPr>
            <w:tcW w:w="142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bCs/>
                <w:color w:val="000000" w:themeColor="text1"/>
                <w:sz w:val="24"/>
                <w:szCs w:val="32"/>
                <w:lang w:val="en" w:eastAsia="zh-CN"/>
                <w14:textFill>
                  <w14:solidFill>
                    <w14:schemeClr w14:val="tx1"/>
                  </w14:solidFill>
                </w14:textFill>
              </w:rPr>
            </w:pPr>
            <w:r>
              <w:rPr>
                <w:rFonts w:hint="eastAsia" w:ascii="仿宋_GB2312" w:hAnsi="仿宋_GB2312" w:eastAsia="仿宋_GB2312" w:cs="仿宋_GB2312"/>
                <w:b/>
                <w:bCs/>
                <w:color w:val="000000" w:themeColor="text1"/>
                <w:sz w:val="24"/>
                <w:szCs w:val="32"/>
                <w:lang w:val="en" w:eastAsia="zh-CN"/>
                <w14:textFill>
                  <w14:solidFill>
                    <w14:schemeClr w14:val="tx1"/>
                  </w14:solidFill>
                </w14:textFill>
              </w:rPr>
              <w:t>学历</w:t>
            </w:r>
          </w:p>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bCs/>
                <w:color w:val="000000" w:themeColor="text1"/>
                <w:sz w:val="24"/>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sz w:val="24"/>
                <w:szCs w:val="32"/>
                <w:lang w:val="en" w:eastAsia="zh-CN"/>
                <w14:textFill>
                  <w14:solidFill>
                    <w14:schemeClr w14:val="tx1"/>
                  </w14:solidFill>
                </w14:textFill>
              </w:rPr>
              <w:t>学位</w:t>
            </w:r>
          </w:p>
        </w:tc>
        <w:tc>
          <w:tcPr>
            <w:tcW w:w="206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bCs/>
                <w:color w:val="000000" w:themeColor="text1"/>
                <w:sz w:val="24"/>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sz w:val="24"/>
                <w:szCs w:val="32"/>
                <w:lang w:val="en-US" w:eastAsia="zh-CN"/>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0" w:hRule="exact"/>
          <w:jc w:val="center"/>
        </w:trPr>
        <w:tc>
          <w:tcPr>
            <w:tcW w:w="115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105" w:leftChars="-50" w:right="-105" w:rightChars="-50" w:firstLine="0" w:firstLineChars="0"/>
              <w:jc w:val="center"/>
              <w:textAlignment w:val="auto"/>
              <w:rPr>
                <w:rFonts w:hint="eastAsia" w:ascii="仿宋_GB2312" w:hAnsi="仿宋_GB2312" w:eastAsia="仿宋_GB2312" w:cs="仿宋_GB2312"/>
                <w:b w:val="0"/>
                <w:bCs w:val="0"/>
                <w:color w:val="000000" w:themeColor="text1"/>
                <w:lang w:val="en-US" w:eastAsia="zh-CN"/>
                <w14:textFill>
                  <w14:solidFill>
                    <w14:schemeClr w14:val="tx1"/>
                  </w14:solidFill>
                </w14:textFill>
              </w:rPr>
            </w:pPr>
            <w:r>
              <w:rPr>
                <w:rFonts w:hint="eastAsia" w:ascii="仿宋_GB2312" w:hAnsi="仿宋_GB2312" w:eastAsia="仿宋_GB2312" w:cs="仿宋_GB2312"/>
                <w:b w:val="0"/>
                <w:bCs w:val="0"/>
                <w:color w:val="000000" w:themeColor="text1"/>
                <w:lang w:val="en-US" w:eastAsia="zh-CN"/>
                <w14:textFill>
                  <w14:solidFill>
                    <w14:schemeClr w14:val="tx1"/>
                  </w14:solidFill>
                </w14:textFill>
              </w:rPr>
              <w:t>专业技术岗</w:t>
            </w:r>
          </w:p>
        </w:tc>
        <w:tc>
          <w:tcPr>
            <w:tcW w:w="8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000000" w:themeColor="text1"/>
                <w:lang w:val="en-US" w:eastAsia="zh-CN"/>
                <w14:textFill>
                  <w14:solidFill>
                    <w14:schemeClr w14:val="tx1"/>
                  </w14:solidFill>
                </w14:textFill>
              </w:rPr>
            </w:pPr>
            <w:r>
              <w:rPr>
                <w:rFonts w:hint="eastAsia" w:ascii="仿宋_GB2312" w:hAnsi="仿宋_GB2312" w:eastAsia="仿宋_GB2312" w:cs="仿宋_GB2312"/>
                <w:b w:val="0"/>
                <w:bCs w:val="0"/>
                <w:color w:val="000000" w:themeColor="text1"/>
                <w:lang w:val="en-US" w:eastAsia="zh-CN"/>
                <w14:textFill>
                  <w14:solidFill>
                    <w14:schemeClr w14:val="tx1"/>
                  </w14:solidFill>
                </w14:textFill>
              </w:rPr>
              <w:t>1</w:t>
            </w:r>
          </w:p>
        </w:tc>
        <w:tc>
          <w:tcPr>
            <w:tcW w:w="229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left"/>
              <w:textAlignment w:val="auto"/>
              <w:rPr>
                <w:rFonts w:hint="eastAsia" w:ascii="仿宋_GB2312" w:hAnsi="仿宋_GB2312" w:eastAsia="仿宋_GB2312" w:cs="仿宋_GB2312"/>
                <w:b w:val="0"/>
                <w:bCs w:val="0"/>
                <w:color w:val="000000" w:themeColor="text1"/>
                <w:lang w:val="en" w:eastAsia="zh-CN"/>
                <w14:textFill>
                  <w14:solidFill>
                    <w14:schemeClr w14:val="tx1"/>
                  </w14:solidFill>
                </w14:textFill>
              </w:rPr>
            </w:pPr>
            <w:r>
              <w:rPr>
                <w:rFonts w:hint="eastAsia" w:ascii="仿宋_GB2312" w:hAnsi="仿宋_GB2312" w:eastAsia="仿宋_GB2312" w:cs="仿宋_GB2312"/>
                <w:b/>
                <w:bCs/>
                <w:color w:val="000000" w:themeColor="text1"/>
                <w:lang w:val="en" w:eastAsia="zh-CN"/>
                <w14:textFill>
                  <w14:solidFill>
                    <w14:schemeClr w14:val="tx1"/>
                  </w14:solidFill>
                </w14:textFill>
              </w:rPr>
              <w:t>本科：</w:t>
            </w:r>
            <w:r>
              <w:rPr>
                <w:rFonts w:hint="eastAsia" w:ascii="仿宋_GB2312" w:hAnsi="仿宋_GB2312" w:eastAsia="仿宋_GB2312" w:cs="仿宋_GB2312"/>
                <w:b w:val="0"/>
                <w:bCs w:val="0"/>
                <w:color w:val="000000" w:themeColor="text1"/>
                <w:lang w:val="en" w:eastAsia="zh-CN"/>
                <w14:textFill>
                  <w14:solidFill>
                    <w14:schemeClr w14:val="tx1"/>
                  </w14:solidFill>
                </w14:textFill>
              </w:rPr>
              <w:t>数学类；统计学类；电子信息类；计算机类；</w:t>
            </w:r>
          </w:p>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left"/>
              <w:textAlignment w:val="auto"/>
              <w:rPr>
                <w:rFonts w:hint="default" w:ascii="仿宋_GB2312" w:hAnsi="仿宋_GB2312" w:eastAsia="仿宋_GB2312" w:cs="仿宋_GB2312"/>
                <w:b/>
                <w:bCs/>
                <w:color w:val="000000" w:themeColor="text1"/>
                <w:lang w:val="en-US" w:eastAsia="zh-CN"/>
                <w14:textFill>
                  <w14:solidFill>
                    <w14:schemeClr w14:val="tx1"/>
                  </w14:solidFill>
                </w14:textFill>
              </w:rPr>
            </w:pPr>
            <w:r>
              <w:rPr>
                <w:rFonts w:hint="eastAsia" w:ascii="仿宋_GB2312" w:hAnsi="仿宋_GB2312" w:eastAsia="仿宋_GB2312" w:cs="仿宋_GB2312"/>
                <w:b/>
                <w:bCs/>
                <w:color w:val="000000" w:themeColor="text1"/>
                <w:lang w:val="en-US" w:eastAsia="zh-CN"/>
                <w14:textFill>
                  <w14:solidFill>
                    <w14:schemeClr w14:val="tx1"/>
                  </w14:solidFill>
                </w14:textFill>
              </w:rPr>
              <w:t>博士研究生：</w:t>
            </w:r>
          </w:p>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left"/>
              <w:textAlignment w:val="auto"/>
              <w:rPr>
                <w:rFonts w:hint="eastAsia" w:ascii="仿宋_GB2312" w:hAnsi="仿宋_GB2312" w:eastAsia="仿宋_GB2312" w:cs="仿宋_GB2312"/>
                <w:b w:val="0"/>
                <w:bCs w:val="0"/>
                <w:color w:val="000000" w:themeColor="text1"/>
                <w:lang w:val="en-US" w:eastAsia="zh-CN"/>
                <w14:textFill>
                  <w14:solidFill>
                    <w14:schemeClr w14:val="tx1"/>
                  </w14:solidFill>
                </w14:textFill>
              </w:rPr>
            </w:pPr>
            <w:r>
              <w:rPr>
                <w:rFonts w:hint="eastAsia" w:ascii="仿宋_GB2312" w:hAnsi="仿宋_GB2312" w:eastAsia="仿宋_GB2312" w:cs="仿宋_GB2312"/>
                <w:b w:val="0"/>
                <w:bCs w:val="0"/>
                <w:color w:val="000000" w:themeColor="text1"/>
                <w:lang w:val="en" w:eastAsia="zh-CN"/>
                <w14:textFill>
                  <w14:solidFill>
                    <w14:schemeClr w14:val="tx1"/>
                  </w14:solidFill>
                </w14:textFill>
              </w:rPr>
              <w:t>计算机科学与技术、</w:t>
            </w:r>
            <w:r>
              <w:rPr>
                <w:rFonts w:hint="eastAsia" w:ascii="仿宋_GB2312" w:hAnsi="仿宋_GB2312" w:eastAsia="仿宋_GB2312" w:cs="仿宋_GB2312"/>
                <w:b w:val="0"/>
                <w:bCs w:val="0"/>
                <w:color w:val="000000" w:themeColor="text1"/>
                <w:lang w:val="en-US" w:eastAsia="zh-CN"/>
                <w14:textFill>
                  <w14:solidFill>
                    <w14:schemeClr w14:val="tx1"/>
                  </w14:solidFill>
                </w14:textFill>
              </w:rPr>
              <w:t>计算机软件与理论、计算机网络与信息安全、</w:t>
            </w:r>
            <w:r>
              <w:rPr>
                <w:rFonts w:hint="eastAsia" w:ascii="仿宋_GB2312" w:hAnsi="仿宋_GB2312" w:eastAsia="仿宋_GB2312" w:cs="仿宋_GB2312"/>
                <w:b w:val="0"/>
                <w:bCs w:val="0"/>
                <w:color w:val="000000" w:themeColor="text1"/>
                <w:lang w:val="en" w:eastAsia="zh-CN"/>
                <w14:textFill>
                  <w14:solidFill>
                    <w14:schemeClr w14:val="tx1"/>
                  </w14:solidFill>
                </w14:textFill>
              </w:rPr>
              <w:t>计算机应用技术、计算机技术、计算科学、网络安全技术与工程、网络信息安全、网络与信息安全、软件服务工程、软件工程、软件工程技术、网络与信息系统安全、信息与计算科学。</w:t>
            </w:r>
          </w:p>
        </w:tc>
        <w:tc>
          <w:tcPr>
            <w:tcW w:w="1425" w:type="dxa"/>
            <w:shd w:val="clear" w:color="auto" w:fill="FFFFFF" w:themeFill="background1"/>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000000" w:themeColor="text1"/>
                <w:lang w:val="en-US" w:eastAsia="zh-CN"/>
                <w14:textFill>
                  <w14:solidFill>
                    <w14:schemeClr w14:val="tx1"/>
                  </w14:solidFill>
                </w14:textFill>
              </w:rPr>
            </w:pPr>
            <w:r>
              <w:rPr>
                <w:rFonts w:hint="eastAsia" w:ascii="仿宋_GB2312" w:hAnsi="仿宋_GB2312" w:eastAsia="仿宋_GB2312" w:cs="仿宋_GB2312"/>
                <w:b w:val="0"/>
                <w:bCs w:val="0"/>
                <w:color w:val="000000" w:themeColor="text1"/>
                <w:lang w:val="en-US" w:eastAsia="zh-CN"/>
                <w14:textFill>
                  <w14:solidFill>
                    <w14:schemeClr w14:val="tx1"/>
                  </w14:solidFill>
                </w14:textFill>
              </w:rPr>
              <w:t>博士研究生/博士学位</w:t>
            </w:r>
          </w:p>
        </w:tc>
        <w:tc>
          <w:tcPr>
            <w:tcW w:w="2066"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40" w:lineRule="exact"/>
              <w:ind w:leftChars="0" w:firstLine="0" w:firstLineChars="0"/>
              <w:jc w:val="left"/>
              <w:textAlignment w:val="auto"/>
              <w:rPr>
                <w:rFonts w:hint="eastAsia" w:ascii="仿宋_GB2312" w:hAnsi="仿宋_GB2312" w:eastAsia="仿宋_GB2312" w:cs="仿宋_GB2312"/>
                <w:b w:val="0"/>
                <w:bCs w:val="0"/>
                <w:color w:val="000000" w:themeColor="text1"/>
                <w:lang w:val="en-US" w:eastAsia="zh-CN"/>
                <w14:textFill>
                  <w14:solidFill>
                    <w14:schemeClr w14:val="tx1"/>
                  </w14:solidFill>
                </w14:textFill>
              </w:rPr>
            </w:pPr>
            <w:r>
              <w:rPr>
                <w:rFonts w:hint="eastAsia" w:ascii="仿宋_GB2312" w:hAnsi="仿宋_GB2312" w:eastAsia="仿宋_GB2312" w:cs="仿宋_GB2312"/>
                <w:b w:val="0"/>
                <w:bCs w:val="0"/>
                <w:color w:val="000000" w:themeColor="text1"/>
                <w:lang w:val="en-US" w:eastAsia="zh-CN"/>
                <w14:textFill>
                  <w14:solidFill>
                    <w14:schemeClr w14:val="tx1"/>
                  </w14:solidFill>
                </w14:textFill>
              </w:rPr>
              <w:t>本科和博士研究生阶段需同时满足专业要求</w:t>
            </w:r>
          </w:p>
          <w:p>
            <w:pPr>
              <w:keepNext w:val="0"/>
              <w:keepLines w:val="0"/>
              <w:pageBreakBefore w:val="0"/>
              <w:widowControl w:val="0"/>
              <w:numPr>
                <w:ilvl w:val="0"/>
                <w:numId w:val="1"/>
              </w:numPr>
              <w:kinsoku/>
              <w:wordWrap/>
              <w:overflowPunct/>
              <w:topLinePunct w:val="0"/>
              <w:autoSpaceDE/>
              <w:autoSpaceDN/>
              <w:bidi w:val="0"/>
              <w:adjustRightInd/>
              <w:snapToGrid/>
              <w:spacing w:line="240" w:lineRule="exact"/>
              <w:ind w:leftChars="0" w:firstLine="0" w:firstLineChars="0"/>
              <w:jc w:val="left"/>
              <w:textAlignment w:val="auto"/>
              <w:rPr>
                <w:rFonts w:hint="eastAsia" w:ascii="仿宋_GB2312" w:hAnsi="仿宋_GB2312" w:eastAsia="仿宋_GB2312" w:cs="仿宋_GB2312"/>
                <w:b w:val="0"/>
                <w:bCs w:val="0"/>
                <w:color w:val="000000" w:themeColor="text1"/>
                <w:lang w:val="en-US" w:eastAsia="zh-CN"/>
                <w14:textFill>
                  <w14:solidFill>
                    <w14:schemeClr w14:val="tx1"/>
                  </w14:solidFill>
                </w14:textFill>
              </w:rPr>
            </w:pPr>
            <w:r>
              <w:rPr>
                <w:rFonts w:hint="eastAsia" w:ascii="仿宋_GB2312" w:hAnsi="仿宋_GB2312" w:eastAsia="仿宋_GB2312" w:cs="仿宋_GB2312"/>
                <w:b w:val="0"/>
                <w:bCs w:val="0"/>
                <w:color w:val="000000" w:themeColor="text1"/>
                <w:lang w:val="en-US" w:eastAsia="zh-CN"/>
                <w14:textFill>
                  <w14:solidFill>
                    <w14:schemeClr w14:val="tx1"/>
                  </w14:solidFill>
                </w14:textFill>
              </w:rPr>
              <w:t>专业要求参考《2025年浙江省公务员招考专业参考目录》（见附件2）</w:t>
            </w:r>
          </w:p>
          <w:p>
            <w:pPr>
              <w:keepNext w:val="0"/>
              <w:keepLines w:val="0"/>
              <w:pageBreakBefore w:val="0"/>
              <w:widowControl w:val="0"/>
              <w:numPr>
                <w:ilvl w:val="0"/>
                <w:numId w:val="1"/>
              </w:numPr>
              <w:kinsoku/>
              <w:wordWrap/>
              <w:overflowPunct/>
              <w:topLinePunct w:val="0"/>
              <w:autoSpaceDE/>
              <w:autoSpaceDN/>
              <w:bidi w:val="0"/>
              <w:adjustRightInd/>
              <w:snapToGrid/>
              <w:spacing w:line="240" w:lineRule="exact"/>
              <w:ind w:leftChars="0" w:firstLine="0" w:firstLineChars="0"/>
              <w:jc w:val="left"/>
              <w:textAlignment w:val="auto"/>
              <w:rPr>
                <w:rFonts w:hint="default" w:ascii="仿宋_GB2312" w:hAnsi="仿宋_GB2312" w:eastAsia="仿宋_GB2312" w:cs="仿宋_GB2312"/>
                <w:b w:val="0"/>
                <w:bCs w:val="0"/>
                <w:color w:val="000000" w:themeColor="text1"/>
                <w:lang w:val="en-US" w:eastAsia="zh-CN"/>
                <w14:textFill>
                  <w14:solidFill>
                    <w14:schemeClr w14:val="tx1"/>
                  </w14:solidFill>
                </w14:textFill>
              </w:rPr>
            </w:pPr>
            <w:r>
              <w:rPr>
                <w:rFonts w:hint="eastAsia" w:ascii="仿宋_GB2312" w:hAnsi="仿宋_GB2312" w:eastAsia="仿宋_GB2312" w:cs="仿宋_GB2312"/>
                <w:b w:val="0"/>
                <w:bCs w:val="0"/>
                <w:color w:val="000000" w:themeColor="text1"/>
                <w:lang w:val="en-US" w:eastAsia="zh-CN"/>
                <w14:textFill>
                  <w14:solidFill>
                    <w14:schemeClr w14:val="tx1"/>
                  </w14:solidFill>
                </w14:textFill>
              </w:rPr>
              <w:t>主要从事网络运行维护、网络安全管理、设施设备管理等</w:t>
            </w:r>
          </w:p>
        </w:tc>
      </w:tr>
    </w:tbl>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Chars="0" w:right="0" w:rightChars="0" w:firstLine="600" w:firstLineChars="200"/>
        <w:jc w:val="both"/>
        <w:textAlignment w:val="auto"/>
        <w:rPr>
          <w:rStyle w:val="7"/>
          <w:rFonts w:hint="eastAsia" w:ascii="黑体" w:hAnsi="黑体" w:eastAsia="黑体" w:cs="黑体"/>
          <w:b w:val="0"/>
          <w:bCs/>
          <w:i w:val="0"/>
          <w:caps w:val="0"/>
          <w:color w:val="000000" w:themeColor="text1"/>
          <w:spacing w:val="0"/>
          <w:sz w:val="30"/>
          <w:szCs w:val="30"/>
          <w:lang w:val="en-US" w:eastAsia="zh-CN"/>
          <w14:textFill>
            <w14:solidFill>
              <w14:schemeClr w14:val="tx1"/>
            </w14:solidFill>
          </w14:textFill>
        </w:rPr>
      </w:pPr>
      <w:r>
        <w:rPr>
          <w:rStyle w:val="7"/>
          <w:rFonts w:hint="eastAsia" w:ascii="黑体" w:hAnsi="黑体" w:eastAsia="黑体" w:cs="黑体"/>
          <w:b w:val="0"/>
          <w:bCs/>
          <w:i w:val="0"/>
          <w:caps w:val="0"/>
          <w:color w:val="000000" w:themeColor="text1"/>
          <w:spacing w:val="0"/>
          <w:sz w:val="30"/>
          <w:szCs w:val="30"/>
          <w:lang w:eastAsia="zh-CN"/>
          <w14:textFill>
            <w14:solidFill>
              <w14:schemeClr w14:val="tx1"/>
            </w14:solidFill>
          </w14:textFill>
        </w:rPr>
        <w:t>二、招聘岗位</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Chars="0" w:right="0" w:rightChars="0" w:firstLine="600" w:firstLineChars="200"/>
        <w:jc w:val="both"/>
        <w:textAlignment w:val="auto"/>
        <w:rPr>
          <w:rStyle w:val="7"/>
          <w:rFonts w:hint="eastAsia" w:ascii="黑体" w:hAnsi="黑体" w:eastAsia="黑体" w:cs="黑体"/>
          <w:b w:val="0"/>
          <w:bCs/>
          <w:i w:val="0"/>
          <w:caps w:val="0"/>
          <w:color w:val="000000" w:themeColor="text1"/>
          <w:spacing w:val="0"/>
          <w:sz w:val="30"/>
          <w:szCs w:val="30"/>
          <w:lang w:eastAsia="zh-CN"/>
          <w14:textFill>
            <w14:solidFill>
              <w14:schemeClr w14:val="tx1"/>
            </w14:solidFill>
          </w14:textFill>
        </w:rPr>
      </w:pPr>
      <w:r>
        <w:rPr>
          <w:rStyle w:val="7"/>
          <w:rFonts w:hint="eastAsia" w:ascii="黑体" w:hAnsi="黑体" w:eastAsia="黑体" w:cs="黑体"/>
          <w:b w:val="0"/>
          <w:bCs/>
          <w:i w:val="0"/>
          <w:caps w:val="0"/>
          <w:color w:val="000000" w:themeColor="text1"/>
          <w:spacing w:val="0"/>
          <w:sz w:val="30"/>
          <w:szCs w:val="30"/>
          <w:lang w:eastAsia="zh-CN"/>
          <w14:textFill>
            <w14:solidFill>
              <w14:schemeClr w14:val="tx1"/>
            </w14:solidFill>
          </w14:textFill>
        </w:rPr>
        <w:t>三、招聘</w:t>
      </w:r>
      <w:r>
        <w:rPr>
          <w:rStyle w:val="7"/>
          <w:rFonts w:hint="eastAsia" w:ascii="黑体" w:hAnsi="黑体" w:eastAsia="黑体" w:cs="黑体"/>
          <w:b w:val="0"/>
          <w:bCs/>
          <w:i w:val="0"/>
          <w:caps w:val="0"/>
          <w:color w:val="000000" w:themeColor="text1"/>
          <w:spacing w:val="0"/>
          <w:sz w:val="30"/>
          <w:szCs w:val="30"/>
          <w:shd w:val="clear" w:fill="auto"/>
          <w:lang w:eastAsia="zh-CN"/>
          <w14:textFill>
            <w14:solidFill>
              <w14:schemeClr w14:val="tx1"/>
            </w14:solidFill>
          </w14:textFill>
        </w:rPr>
        <w:t>要求</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2"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b/>
          <w:bCs/>
          <w:i w:val="0"/>
          <w:caps w:val="0"/>
          <w:color w:val="000000" w:themeColor="text1"/>
          <w:spacing w:val="0"/>
          <w:sz w:val="28"/>
          <w:szCs w:val="28"/>
          <w:shd w:val="clear" w:fill="FFFFFF"/>
          <w14:textFill>
            <w14:solidFill>
              <w14:schemeClr w14:val="tx1"/>
            </w14:solidFill>
          </w14:textFill>
        </w:rPr>
        <w:t>（一）</w:t>
      </w:r>
      <w:r>
        <w:rPr>
          <w:rFonts w:hint="eastAsia" w:ascii="仿宋_GB2312" w:hAnsi="仿宋_GB2312" w:eastAsia="仿宋_GB2312" w:cs="仿宋_GB2312"/>
          <w:b/>
          <w:bCs/>
          <w:i w:val="0"/>
          <w:caps w:val="0"/>
          <w:color w:val="000000" w:themeColor="text1"/>
          <w:spacing w:val="0"/>
          <w:sz w:val="28"/>
          <w:szCs w:val="28"/>
          <w:shd w:val="clear" w:fill="FFFFFF"/>
          <w:lang w:eastAsia="zh-CN"/>
          <w14:textFill>
            <w14:solidFill>
              <w14:schemeClr w14:val="tx1"/>
            </w14:solidFill>
          </w14:textFill>
        </w:rPr>
        <w:t>招</w:t>
      </w:r>
      <w:r>
        <w:rPr>
          <w:rFonts w:hint="eastAsia" w:ascii="仿宋_GB2312" w:hAnsi="仿宋_GB2312" w:eastAsia="仿宋_GB2312" w:cs="仿宋_GB2312"/>
          <w:b/>
          <w:bCs/>
          <w:i w:val="0"/>
          <w:caps w:val="0"/>
          <w:color w:val="000000" w:themeColor="text1"/>
          <w:spacing w:val="0"/>
          <w:sz w:val="28"/>
          <w:szCs w:val="28"/>
          <w:shd w:val="clear" w:fill="FFFFFF"/>
          <w:lang w:val="en-US" w:eastAsia="zh-CN"/>
          <w14:textFill>
            <w14:solidFill>
              <w14:schemeClr w14:val="tx1"/>
            </w14:solidFill>
          </w14:textFill>
        </w:rPr>
        <w:t>聘条件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1.具有中华人民共和国国籍；</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2.政治立场坚定，坚定捍卫“两个确立”、坚决做到“两个维护”，在思想上政治上行动上同以习近平同志为核心的党中央保持高度一致；</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3.博士研究生，年龄在40周岁及以下（1984年8月21日及以后出生）；</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4.遵纪守法，品行端正，责任心强，有志于从事党校工作；</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5.具备岗位所需的专业素养，岗位匹配性强；</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6.具有适应岗位要求的身体及心理条件。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2" w:firstLineChars="200"/>
        <w:jc w:val="both"/>
        <w:textAlignment w:val="auto"/>
        <w:rPr>
          <w:rFonts w:hint="eastAsia" w:ascii="仿宋_GB2312" w:hAnsi="仿宋_GB2312" w:eastAsia="仿宋_GB2312" w:cs="仿宋_GB2312"/>
          <w:b/>
          <w:bCs/>
          <w:i w:val="0"/>
          <w:caps w:val="0"/>
          <w:color w:val="000000" w:themeColor="text1"/>
          <w:spacing w:val="0"/>
          <w:sz w:val="28"/>
          <w:szCs w:val="28"/>
          <w:shd w:val="clear" w:fill="FFFFFF"/>
          <w:lang w:val="en-US" w:eastAsia="zh-CN"/>
          <w14:textFill>
            <w14:solidFill>
              <w14:schemeClr w14:val="tx1"/>
            </w14:solidFill>
          </w14:textFill>
        </w:rPr>
      </w:pPr>
      <w:r>
        <w:rPr>
          <w:rFonts w:hint="eastAsia" w:ascii="仿宋_GB2312" w:hAnsi="仿宋_GB2312" w:eastAsia="仿宋_GB2312" w:cs="仿宋_GB2312"/>
          <w:b/>
          <w:bCs/>
          <w:i w:val="0"/>
          <w:caps w:val="0"/>
          <w:color w:val="000000" w:themeColor="text1"/>
          <w:spacing w:val="0"/>
          <w:sz w:val="28"/>
          <w:szCs w:val="28"/>
          <w:shd w:val="clear" w:fill="FFFFFF"/>
          <w:lang w:val="en-US" w:eastAsia="zh-CN"/>
          <w14:textFill>
            <w14:solidFill>
              <w14:schemeClr w14:val="tx1"/>
            </w14:solidFill>
          </w14:textFill>
        </w:rPr>
        <w:t>（二）有下列情形之一的，不得应聘</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1.涉嫌违纪违法正在接受纪检监察机关或者司法机关审查尚未作出结论的；</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2.属于《公务员录用考察办法（试行）》规定不得确定为录用人选情形之一的人员；</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3.聘用后即构成回避关系的；</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4.曾有学术不端等不良行为的；</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default"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5.法律法规规定不得报考的其他情形。</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Chars="0" w:right="0" w:rightChars="0" w:firstLine="600" w:firstLineChars="200"/>
        <w:jc w:val="both"/>
        <w:textAlignment w:val="auto"/>
        <w:rPr>
          <w:rStyle w:val="7"/>
          <w:rFonts w:hint="eastAsia" w:ascii="黑体" w:hAnsi="黑体" w:eastAsia="黑体" w:cs="黑体"/>
          <w:b w:val="0"/>
          <w:bCs/>
          <w:i w:val="0"/>
          <w:caps w:val="0"/>
          <w:color w:val="000000" w:themeColor="text1"/>
          <w:spacing w:val="0"/>
          <w:sz w:val="30"/>
          <w:szCs w:val="30"/>
          <w:lang w:eastAsia="zh-CN"/>
          <w14:textFill>
            <w14:solidFill>
              <w14:schemeClr w14:val="tx1"/>
            </w14:solidFill>
          </w14:textFill>
        </w:rPr>
      </w:pPr>
      <w:r>
        <w:rPr>
          <w:rStyle w:val="7"/>
          <w:rFonts w:hint="eastAsia" w:ascii="黑体" w:hAnsi="黑体" w:eastAsia="黑体" w:cs="黑体"/>
          <w:b w:val="0"/>
          <w:bCs/>
          <w:i w:val="0"/>
          <w:caps w:val="0"/>
          <w:color w:val="000000" w:themeColor="text1"/>
          <w:spacing w:val="0"/>
          <w:sz w:val="30"/>
          <w:szCs w:val="30"/>
          <w:lang w:eastAsia="zh-CN"/>
          <w14:textFill>
            <w14:solidFill>
              <w14:schemeClr w14:val="tx1"/>
            </w14:solidFill>
          </w14:textFill>
        </w:rPr>
        <w:t>四、招聘程序</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2" w:firstLineChars="200"/>
        <w:jc w:val="left"/>
        <w:textAlignment w:val="auto"/>
        <w:rPr>
          <w:rFonts w:hint="eastAsia" w:ascii="仿宋_GB2312" w:hAnsi="仿宋_GB2312" w:eastAsia="仿宋_GB2312" w:cs="仿宋_GB2312"/>
          <w:b/>
          <w:bCs/>
          <w:i w:val="0"/>
          <w:caps w:val="0"/>
          <w:color w:val="000000" w:themeColor="text1"/>
          <w:spacing w:val="0"/>
          <w:kern w:val="0"/>
          <w:sz w:val="28"/>
          <w:szCs w:val="28"/>
          <w:shd w:val="clear" w:fill="FFFFFF"/>
          <w:lang w:val="en-US" w:eastAsia="zh-CN" w:bidi="ar-SA"/>
          <w14:textFill>
            <w14:solidFill>
              <w14:schemeClr w14:val="tx1"/>
            </w14:solidFill>
          </w14:textFill>
        </w:rPr>
      </w:pPr>
      <w:r>
        <w:rPr>
          <w:rFonts w:hint="eastAsia" w:ascii="仿宋_GB2312" w:hAnsi="仿宋_GB2312" w:eastAsia="仿宋_GB2312" w:cs="仿宋_GB2312"/>
          <w:b/>
          <w:bCs/>
          <w:i w:val="0"/>
          <w:caps w:val="0"/>
          <w:color w:val="000000" w:themeColor="text1"/>
          <w:spacing w:val="0"/>
          <w:kern w:val="0"/>
          <w:sz w:val="28"/>
          <w:szCs w:val="28"/>
          <w:shd w:val="clear" w:fill="FFFFFF"/>
          <w:lang w:val="en-US" w:eastAsia="zh-CN" w:bidi="ar-SA"/>
          <w14:textFill>
            <w14:solidFill>
              <w14:schemeClr w14:val="tx1"/>
            </w14:solidFill>
          </w14:textFill>
        </w:rPr>
        <w:t>（一）报名</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报名时间：公告发布之日至2025年9月30日止。</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报名方式：网上报名。</w:t>
      </w: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fldChar w:fldCharType="begin"/>
      </w: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instrText xml:space="preserve"> HYPERLINK "mailto:应聘人员下载并填好报名表（见附件），发送报名表、本人简历、身份证、学历学位证书（国境外留学回国境人员凭教育部中国留学服务中心出具的国境外学历学位认证书或国境外院校学籍证明）、近期免冠1寸彩照1张等材料的扫描件；\“应聘岗位+姓名\”到指定邮箱，yyang@nbdx.cn" </w:instrText>
      </w: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fldChar w:fldCharType="separate"/>
      </w: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应聘人员下载并填写报名登记表（见附件1），发送报名材料到指定邮箱：</w:t>
      </w: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fldChar w:fldCharType="begin"/>
      </w: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instrText xml:space="preserve"> HYPERLINK "mailto:zgsxswdx@163.com" </w:instrText>
      </w: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fldChar w:fldCharType="separate"/>
      </w: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zgsxswdx@163.com</w:t>
      </w: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fldChar w:fldCharType="end"/>
      </w: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fldChar w:fldCharType="end"/>
      </w: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。邮件主题为“本人姓名+毕业学校+所学专业”。</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报名材料：</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（1）报名登记表（word版及扫描件）；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（2）学历和学位证书扫描件（国（境）外留学归来人员报考，须取得教育部中国留学服务中心</w:t>
      </w:r>
      <w:bookmarkStart w:id="0" w:name="_GoBack"/>
      <w:bookmarkEnd w:id="0"/>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国（境）外学历、学位认证书，同时符合《公告》规定的其他条件；未取得学历（学位）证书的国内普通高校应届毕业生持高校核发的就业推荐表，国（境）外应届毕业生持入学证明，同时符合《公告》规定的其他条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（3）职称资格证书扫描件；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（4）本人身份证扫描件；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（5）近期一寸正面免冠电子证件照。</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本次招聘不收取报名费和考试费。应聘人员应确保提交材料真实准确，如发现信息不实、弄虚作假，立即取消应聘资格。按要求填报联系方式，并保持通讯畅通。</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2" w:firstLineChars="200"/>
        <w:jc w:val="left"/>
        <w:textAlignment w:val="auto"/>
        <w:rPr>
          <w:rFonts w:hint="eastAsia" w:ascii="仿宋_GB2312" w:hAnsi="仿宋_GB2312" w:eastAsia="仿宋_GB2312" w:cs="仿宋_GB2312"/>
          <w:b/>
          <w:bCs/>
          <w:i w:val="0"/>
          <w:caps w:val="0"/>
          <w:color w:val="000000" w:themeColor="text1"/>
          <w:spacing w:val="0"/>
          <w:kern w:val="0"/>
          <w:sz w:val="28"/>
          <w:szCs w:val="28"/>
          <w:shd w:val="clear" w:fill="FFFFFF"/>
          <w:lang w:val="en-US" w:eastAsia="zh-CN" w:bidi="ar-SA"/>
          <w14:textFill>
            <w14:solidFill>
              <w14:schemeClr w14:val="tx1"/>
            </w14:solidFill>
          </w14:textFill>
        </w:rPr>
      </w:pPr>
      <w:r>
        <w:rPr>
          <w:rFonts w:hint="eastAsia" w:ascii="仿宋_GB2312" w:hAnsi="仿宋_GB2312" w:eastAsia="仿宋_GB2312" w:cs="仿宋_GB2312"/>
          <w:b/>
          <w:bCs/>
          <w:i w:val="0"/>
          <w:caps w:val="0"/>
          <w:color w:val="000000" w:themeColor="text1"/>
          <w:spacing w:val="0"/>
          <w:kern w:val="0"/>
          <w:sz w:val="28"/>
          <w:szCs w:val="28"/>
          <w:shd w:val="clear" w:fill="FFFFFF"/>
          <w:lang w:val="en-US" w:eastAsia="zh-CN" w:bidi="ar-SA"/>
          <w14:textFill>
            <w14:solidFill>
              <w14:schemeClr w14:val="tx1"/>
            </w14:solidFill>
          </w14:textFill>
        </w:rPr>
        <w:t>（二）资格审查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学校根据招聘条件对应聘人员进行资格审查。资格审查通过人数与招聘人数原则上应达到3:1（如低于3:1，报绍兴市人力社保局同意，可适当降低招聘比例或取消招聘计划）。若专业设置与国（境）内外高校具体专业名称有一定差异的，应聘人员专业与岗位专业要求可按照“相似相近”的原则，由学校比对课程与所设专业的相似度，进行审查决定。资格审查合格人员具有参加面试资格，由学校发放面试通知书。</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资格审查贯穿招聘工作全过程，任一环节发现应聘人员存在不符合条件情况的，立即取消报考或应聘资格。</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2" w:firstLineChars="200"/>
        <w:jc w:val="left"/>
        <w:textAlignment w:val="auto"/>
        <w:rPr>
          <w:rFonts w:hint="eastAsia" w:ascii="仿宋_GB2312" w:hAnsi="仿宋_GB2312" w:eastAsia="仿宋_GB2312" w:cs="仿宋_GB2312"/>
          <w:b/>
          <w:bCs/>
          <w:i w:val="0"/>
          <w:caps w:val="0"/>
          <w:color w:val="000000" w:themeColor="text1"/>
          <w:spacing w:val="0"/>
          <w:kern w:val="0"/>
          <w:sz w:val="28"/>
          <w:szCs w:val="28"/>
          <w:shd w:val="clear" w:fill="FFFFFF"/>
          <w:lang w:val="en-US" w:eastAsia="zh-CN" w:bidi="ar-SA"/>
          <w14:textFill>
            <w14:solidFill>
              <w14:schemeClr w14:val="tx1"/>
            </w14:solidFill>
          </w14:textFill>
        </w:rPr>
      </w:pPr>
      <w:r>
        <w:rPr>
          <w:rFonts w:hint="eastAsia" w:ascii="仿宋_GB2312" w:hAnsi="仿宋_GB2312" w:eastAsia="仿宋_GB2312" w:cs="仿宋_GB2312"/>
          <w:b/>
          <w:bCs/>
          <w:i w:val="0"/>
          <w:caps w:val="0"/>
          <w:color w:val="000000" w:themeColor="text1"/>
          <w:spacing w:val="0"/>
          <w:kern w:val="0"/>
          <w:sz w:val="28"/>
          <w:szCs w:val="28"/>
          <w:shd w:val="clear" w:fill="FFFFFF"/>
          <w:lang w:val="en-US" w:eastAsia="zh-CN" w:bidi="ar-SA"/>
          <w14:textFill>
            <w14:solidFill>
              <w14:schemeClr w14:val="tx1"/>
            </w14:solidFill>
          </w14:textFill>
        </w:rPr>
        <w:t>（三）面试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应聘人员按面试通知书载明的具体时间、地点和要求准时参加面试。未准时到达规定地点或未持有效期内的身份证件参加面试的，视作自动放弃面试资格。</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面试形式和内容：结构化面试，主要考核思想政治素质、专业素养、分析和解决问题能力、岗位匹配度等综合能力和素质。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000000" w:themeColor="text1"/>
          <w:kern w:val="2"/>
          <w:sz w:val="28"/>
          <w:szCs w:val="28"/>
          <w:highlight w:val="yellow"/>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面试满分100分，合格分为70分，成绩低于70分者不能进入下一环节。面试成绩即为总成绩，总成绩四舍五入保留二位小数。</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2" w:firstLineChars="200"/>
        <w:jc w:val="left"/>
        <w:textAlignment w:val="auto"/>
        <w:rPr>
          <w:rFonts w:hint="eastAsia" w:ascii="仿宋_GB2312" w:hAnsi="仿宋_GB2312" w:eastAsia="仿宋_GB2312" w:cs="仿宋_GB2312"/>
          <w:b/>
          <w:bCs/>
          <w:i w:val="0"/>
          <w:caps w:val="0"/>
          <w:color w:val="000000" w:themeColor="text1"/>
          <w:spacing w:val="0"/>
          <w:kern w:val="0"/>
          <w:sz w:val="28"/>
          <w:szCs w:val="28"/>
          <w:shd w:val="clear" w:fill="92D050"/>
          <w:lang w:val="en-US" w:eastAsia="zh-CN" w:bidi="ar-SA"/>
          <w14:textFill>
            <w14:solidFill>
              <w14:schemeClr w14:val="tx1"/>
            </w14:solidFill>
          </w14:textFill>
        </w:rPr>
      </w:pPr>
      <w:r>
        <w:rPr>
          <w:rFonts w:hint="eastAsia" w:ascii="仿宋_GB2312" w:hAnsi="仿宋_GB2312" w:eastAsia="仿宋_GB2312" w:cs="仿宋_GB2312"/>
          <w:b/>
          <w:bCs/>
          <w:i w:val="0"/>
          <w:caps w:val="0"/>
          <w:color w:val="000000" w:themeColor="text1"/>
          <w:spacing w:val="0"/>
          <w:kern w:val="0"/>
          <w:sz w:val="28"/>
          <w:szCs w:val="28"/>
          <w:shd w:val="clear" w:fill="FFFFFF"/>
          <w:lang w:val="en-US" w:eastAsia="zh-CN" w:bidi="ar-SA"/>
          <w14:textFill>
            <w14:solidFill>
              <w14:schemeClr w14:val="tx1"/>
            </w14:solidFill>
          </w14:textFill>
        </w:rPr>
        <w:t>（四）成绩公布</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0" w:firstLineChars="200"/>
        <w:jc w:val="left"/>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面试结束后按照总成绩从高分到低分排定名次，并在我校门户网站予以公布。按招聘计划数1:1的比例在总成绩合格人员中按名次确定入围体检人员名单。</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2" w:firstLineChars="200"/>
        <w:jc w:val="left"/>
        <w:textAlignment w:val="auto"/>
        <w:rPr>
          <w:rFonts w:hint="eastAsia" w:ascii="仿宋_GB2312" w:hAnsi="仿宋_GB2312" w:eastAsia="仿宋_GB2312" w:cs="仿宋_GB2312"/>
          <w:b/>
          <w:bCs/>
          <w:i w:val="0"/>
          <w:caps w:val="0"/>
          <w:color w:val="000000" w:themeColor="text1"/>
          <w:spacing w:val="0"/>
          <w:kern w:val="0"/>
          <w:sz w:val="28"/>
          <w:szCs w:val="28"/>
          <w:shd w:val="clear" w:fill="92D050"/>
          <w:lang w:val="en-US" w:eastAsia="zh-CN" w:bidi="ar-SA"/>
          <w14:textFill>
            <w14:solidFill>
              <w14:schemeClr w14:val="tx1"/>
            </w14:solidFill>
          </w14:textFill>
        </w:rPr>
      </w:pPr>
      <w:r>
        <w:rPr>
          <w:rFonts w:hint="eastAsia" w:ascii="仿宋_GB2312" w:hAnsi="仿宋_GB2312" w:eastAsia="仿宋_GB2312" w:cs="仿宋_GB2312"/>
          <w:b/>
          <w:bCs/>
          <w:i w:val="0"/>
          <w:caps w:val="0"/>
          <w:color w:val="000000" w:themeColor="text1"/>
          <w:spacing w:val="0"/>
          <w:kern w:val="0"/>
          <w:sz w:val="28"/>
          <w:szCs w:val="28"/>
          <w:shd w:val="clear" w:fill="FFFFFF"/>
          <w:lang w:val="en-US" w:eastAsia="zh-CN" w:bidi="ar-SA"/>
          <w14:textFill>
            <w14:solidFill>
              <w14:schemeClr w14:val="tx1"/>
            </w14:solidFill>
          </w14:textFill>
        </w:rPr>
        <w:t>（五）体检与考察</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体检、考察参照公务员录用体检、考察工作相关标准执行，进入体检人员未按规定时间、地点参加体检视为自动放弃。体检或考察不合格者，不能进入下一环节。</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2" w:firstLineChars="200"/>
        <w:jc w:val="left"/>
        <w:textAlignment w:val="auto"/>
        <w:rPr>
          <w:rFonts w:hint="eastAsia" w:ascii="仿宋_GB2312" w:hAnsi="仿宋_GB2312" w:eastAsia="仿宋_GB2312" w:cs="仿宋_GB2312"/>
          <w:b/>
          <w:bCs/>
          <w:i w:val="0"/>
          <w:caps w:val="0"/>
          <w:color w:val="000000" w:themeColor="text1"/>
          <w:spacing w:val="0"/>
          <w:kern w:val="0"/>
          <w:sz w:val="28"/>
          <w:szCs w:val="28"/>
          <w:shd w:val="clear" w:fill="FFFFFF"/>
          <w:lang w:val="en-US" w:eastAsia="zh-CN" w:bidi="ar-SA"/>
          <w14:textFill>
            <w14:solidFill>
              <w14:schemeClr w14:val="tx1"/>
            </w14:solidFill>
          </w14:textFill>
        </w:rPr>
      </w:pPr>
      <w:r>
        <w:rPr>
          <w:rFonts w:hint="eastAsia" w:ascii="仿宋_GB2312" w:hAnsi="仿宋_GB2312" w:eastAsia="仿宋_GB2312" w:cs="仿宋_GB2312"/>
          <w:b/>
          <w:bCs/>
          <w:i w:val="0"/>
          <w:caps w:val="0"/>
          <w:color w:val="000000" w:themeColor="text1"/>
          <w:spacing w:val="0"/>
          <w:kern w:val="0"/>
          <w:sz w:val="28"/>
          <w:szCs w:val="28"/>
          <w:shd w:val="clear" w:fill="FFFFFF"/>
          <w:lang w:val="en-US" w:eastAsia="zh-CN" w:bidi="ar-SA"/>
          <w14:textFill>
            <w14:solidFill>
              <w14:schemeClr w14:val="tx1"/>
            </w14:solidFill>
          </w14:textFill>
        </w:rPr>
        <w:t>（六）公示与聘用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经考察合格的拟聘人员在我校门户网站公示7个工作日。公示期满，对拟聘用人员没有异议或反映有问题经查实不影响聘用的，按规定办理相关手续。公示期间有异议，对反映的问题一时难以查实的，将暂缓聘用，待查清后再决定是否聘用；对反映有影响聘用问题查有实据的，不予聘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有下列情形之一的，取消聘用资格：</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1.未在招聘单位通知的报到期限内办理报到手续的；</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2.未在2025年10月31日（含）前取得相应的学历、学位证书（含教育部中国留学服务中心出具的《国＜境＞外学历、学位认证书》）的。</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因在体检、考察、公示、聘用中放弃或不合格而产生的缺额，在面试合格的应聘人员中按总成绩从高分到低分依次递补。</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600" w:firstLineChars="200"/>
        <w:jc w:val="left"/>
        <w:textAlignment w:val="auto"/>
        <w:rPr>
          <w:rStyle w:val="7"/>
          <w:rFonts w:hint="eastAsia" w:ascii="黑体" w:hAnsi="黑体" w:eastAsia="黑体" w:cs="黑体"/>
          <w:b w:val="0"/>
          <w:bCs/>
          <w:i w:val="0"/>
          <w:caps w:val="0"/>
          <w:color w:val="000000" w:themeColor="text1"/>
          <w:spacing w:val="0"/>
          <w:kern w:val="0"/>
          <w:sz w:val="30"/>
          <w:szCs w:val="30"/>
          <w:lang w:val="en-US" w:eastAsia="zh-CN" w:bidi="ar-SA"/>
          <w14:textFill>
            <w14:solidFill>
              <w14:schemeClr w14:val="tx1"/>
            </w14:solidFill>
          </w14:textFill>
        </w:rPr>
      </w:pPr>
      <w:r>
        <w:rPr>
          <w:rStyle w:val="7"/>
          <w:rFonts w:hint="eastAsia" w:ascii="黑体" w:hAnsi="黑体" w:eastAsia="黑体" w:cs="黑体"/>
          <w:b w:val="0"/>
          <w:bCs/>
          <w:i w:val="0"/>
          <w:caps w:val="0"/>
          <w:color w:val="000000" w:themeColor="text1"/>
          <w:spacing w:val="0"/>
          <w:kern w:val="0"/>
          <w:sz w:val="30"/>
          <w:szCs w:val="30"/>
          <w:lang w:val="en-US" w:eastAsia="zh-CN" w:bidi="ar-SA"/>
          <w14:textFill>
            <w14:solidFill>
              <w14:schemeClr w14:val="tx1"/>
            </w14:solidFill>
          </w14:textFill>
        </w:rPr>
        <w:t>五、政策待遇</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博士研究生安家及购租房补贴（房票）等相关政策，按绍兴市最新人才政策执行，具体可咨询中共绍兴市委党校。</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另学校提供过渡性住房一套居住。</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600" w:firstLineChars="200"/>
        <w:jc w:val="both"/>
        <w:textAlignment w:val="auto"/>
        <w:rPr>
          <w:rStyle w:val="7"/>
          <w:rFonts w:hint="eastAsia" w:ascii="黑体" w:hAnsi="黑体" w:eastAsia="黑体" w:cs="黑体"/>
          <w:b w:val="0"/>
          <w:bCs/>
          <w:i w:val="0"/>
          <w:caps w:val="0"/>
          <w:color w:val="000000" w:themeColor="text1"/>
          <w:spacing w:val="0"/>
          <w:kern w:val="0"/>
          <w:sz w:val="30"/>
          <w:szCs w:val="30"/>
          <w:lang w:val="en-US" w:eastAsia="zh-CN" w:bidi="ar-SA"/>
          <w14:textFill>
            <w14:solidFill>
              <w14:schemeClr w14:val="tx1"/>
            </w14:solidFill>
          </w14:textFill>
        </w:rPr>
      </w:pPr>
      <w:r>
        <w:rPr>
          <w:rStyle w:val="7"/>
          <w:rFonts w:hint="eastAsia" w:ascii="黑体" w:hAnsi="黑体" w:eastAsia="黑体" w:cs="黑体"/>
          <w:b w:val="0"/>
          <w:bCs/>
          <w:i w:val="0"/>
          <w:caps w:val="0"/>
          <w:color w:val="000000" w:themeColor="text1"/>
          <w:spacing w:val="0"/>
          <w:kern w:val="0"/>
          <w:sz w:val="30"/>
          <w:szCs w:val="30"/>
          <w:lang w:val="en-US" w:eastAsia="zh-CN" w:bidi="ar-SA"/>
          <w14:textFill>
            <w14:solidFill>
              <w14:schemeClr w14:val="tx1"/>
            </w14:solidFill>
          </w14:textFill>
        </w:rPr>
        <w:t>六、咨询监督</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（一）咨询：中共绍兴市委党校（绍兴市行政学院）人事处郑老师0575-88129376。</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（二）监督：招聘工作接受绍兴市人力资源和社会保障局监督，监督电话：0575-85125301。</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（三）本公告未尽事宜，由中共绍兴市委党校（绍兴市行政学院）负责解释。</w:t>
      </w:r>
    </w:p>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附件：1.中共绍兴市委党校公开招聘专业技术人员报名登记表</w:t>
      </w:r>
    </w:p>
    <w:p>
      <w:pPr>
        <w:keepNext w:val="0"/>
        <w:keepLines w:val="0"/>
        <w:pageBreakBefore w:val="0"/>
        <w:widowControl/>
        <w:suppressLineNumbers w:val="0"/>
        <w:kinsoku/>
        <w:wordWrap/>
        <w:overflowPunct/>
        <w:topLinePunct w:val="0"/>
        <w:autoSpaceDE/>
        <w:autoSpaceDN/>
        <w:bidi w:val="0"/>
        <w:adjustRightInd/>
        <w:snapToGrid/>
        <w:spacing w:line="500" w:lineRule="exact"/>
        <w:ind w:firstLine="840" w:firstLineChars="300"/>
        <w:jc w:val="left"/>
        <w:textAlignment w:val="auto"/>
        <w:rPr>
          <w:rFonts w:hint="default"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2.2025年浙江省公务员招考专业参考目录</w:t>
      </w:r>
    </w:p>
    <w:p>
      <w:pPr>
        <w:keepNext w:val="0"/>
        <w:keepLines w:val="0"/>
        <w:pageBreakBefore w:val="0"/>
        <w:widowControl/>
        <w:suppressLineNumbers w:val="0"/>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中共绍兴市委党校</w:t>
      </w:r>
    </w:p>
    <w:p>
      <w:pPr>
        <w:keepNext w:val="0"/>
        <w:keepLines w:val="0"/>
        <w:pageBreakBefore w:val="0"/>
        <w:widowControl/>
        <w:suppressLineNumbers w:val="0"/>
        <w:kinsoku/>
        <w:wordWrap/>
        <w:overflowPunct/>
        <w:topLinePunct w:val="0"/>
        <w:autoSpaceDE/>
        <w:autoSpaceDN/>
        <w:bidi w:val="0"/>
        <w:adjustRightInd/>
        <w:snapToGrid/>
        <w:spacing w:line="500" w:lineRule="exact"/>
        <w:ind w:firstLine="6440" w:firstLineChars="2300"/>
        <w:jc w:val="left"/>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2025年8月20日</w:t>
      </w: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sectPr>
      <w:footerReference r:id="rId3" w:type="default"/>
      <w:pgSz w:w="11906" w:h="16838"/>
      <w:pgMar w:top="1440" w:right="1633" w:bottom="1440" w:left="1689"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00007A87" w:usb1="80000000" w:usb2="00000008"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3000509000000000000"/>
    <w:charset w:val="86"/>
    <w:family w:val="auto"/>
    <w:pitch w:val="default"/>
    <w:sig w:usb0="00000001" w:usb1="080E0000" w:usb2="00000000" w:usb3="00000000" w:csb0="00040000" w:csb1="00000000"/>
  </w:font>
  <w:font w:name="方正书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right" w:y="1"/>
      <w:rPr>
        <w:rStyle w:val="8"/>
      </w:rPr>
    </w:pPr>
    <w:r>
      <w:fldChar w:fldCharType="begin"/>
    </w:r>
    <w:r>
      <w:rPr>
        <w:rStyle w:val="8"/>
      </w:rPr>
      <w:instrText xml:space="preserve">PAGE  </w:instrText>
    </w:r>
    <w:r>
      <w:fldChar w:fldCharType="separate"/>
    </w:r>
    <w:r>
      <w:rPr>
        <w:rStyle w:val="8"/>
      </w:rPr>
      <w:t>2</w:t>
    </w:r>
    <w:r>
      <w:fldChar w:fldCharType="end"/>
    </w:r>
  </w:p>
  <w:p>
    <w:pPr>
      <w:pStyle w:val="3"/>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FAA042"/>
    <w:multiLevelType w:val="singleLevel"/>
    <w:tmpl w:val="DFFAA042"/>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355644"/>
    <w:rsid w:val="047F5185"/>
    <w:rsid w:val="08FF2456"/>
    <w:rsid w:val="13D687A3"/>
    <w:rsid w:val="13FE3B7B"/>
    <w:rsid w:val="16C92B11"/>
    <w:rsid w:val="19BED538"/>
    <w:rsid w:val="1BE529C0"/>
    <w:rsid w:val="1CF7AF9A"/>
    <w:rsid w:val="1EF704FD"/>
    <w:rsid w:val="1F7F559F"/>
    <w:rsid w:val="1F9F48CF"/>
    <w:rsid w:val="1FD76362"/>
    <w:rsid w:val="1FF3DC54"/>
    <w:rsid w:val="2BFD2A69"/>
    <w:rsid w:val="2CBD6977"/>
    <w:rsid w:val="2CFF1CA5"/>
    <w:rsid w:val="2F7F6FC0"/>
    <w:rsid w:val="2FBE8375"/>
    <w:rsid w:val="336F652D"/>
    <w:rsid w:val="337FD01E"/>
    <w:rsid w:val="35F3B8C4"/>
    <w:rsid w:val="37DAEE2F"/>
    <w:rsid w:val="39BF1696"/>
    <w:rsid w:val="39DC035A"/>
    <w:rsid w:val="3AAD1F5C"/>
    <w:rsid w:val="3B7654D1"/>
    <w:rsid w:val="3BFD3D48"/>
    <w:rsid w:val="3D5F3BC4"/>
    <w:rsid w:val="3E7B314A"/>
    <w:rsid w:val="3ECD8040"/>
    <w:rsid w:val="3EDFCB3D"/>
    <w:rsid w:val="3F5CE4D2"/>
    <w:rsid w:val="3FAD519E"/>
    <w:rsid w:val="3FAFD56D"/>
    <w:rsid w:val="3FBE640C"/>
    <w:rsid w:val="3FC789C8"/>
    <w:rsid w:val="468F616B"/>
    <w:rsid w:val="47EF9684"/>
    <w:rsid w:val="4B1F577A"/>
    <w:rsid w:val="4D750363"/>
    <w:rsid w:val="4DFFC773"/>
    <w:rsid w:val="4F5DB76D"/>
    <w:rsid w:val="4F6D9207"/>
    <w:rsid w:val="4F75D6EC"/>
    <w:rsid w:val="4FBF62AD"/>
    <w:rsid w:val="55F30D34"/>
    <w:rsid w:val="56C7C518"/>
    <w:rsid w:val="579F62C8"/>
    <w:rsid w:val="57FAF638"/>
    <w:rsid w:val="58EB1E8C"/>
    <w:rsid w:val="5B5EC0C8"/>
    <w:rsid w:val="5B773BCD"/>
    <w:rsid w:val="5BB72FED"/>
    <w:rsid w:val="5CF369E0"/>
    <w:rsid w:val="5CF7E83F"/>
    <w:rsid w:val="5D9F284D"/>
    <w:rsid w:val="5DAEFBD8"/>
    <w:rsid w:val="5DBFD768"/>
    <w:rsid w:val="5DE77CCF"/>
    <w:rsid w:val="5E9B497B"/>
    <w:rsid w:val="5EB5B222"/>
    <w:rsid w:val="5F392E6F"/>
    <w:rsid w:val="5F5DF715"/>
    <w:rsid w:val="5F7A3EDD"/>
    <w:rsid w:val="5F7BAA43"/>
    <w:rsid w:val="5F7F2EB1"/>
    <w:rsid w:val="5F7FAA44"/>
    <w:rsid w:val="5FBD58DA"/>
    <w:rsid w:val="5FBFA093"/>
    <w:rsid w:val="5FEA729D"/>
    <w:rsid w:val="5FFF47D9"/>
    <w:rsid w:val="6185116E"/>
    <w:rsid w:val="63FE97F2"/>
    <w:rsid w:val="64674831"/>
    <w:rsid w:val="64BB2C43"/>
    <w:rsid w:val="66C6336D"/>
    <w:rsid w:val="66FB63E0"/>
    <w:rsid w:val="673FD479"/>
    <w:rsid w:val="676F4CE3"/>
    <w:rsid w:val="6797CE5D"/>
    <w:rsid w:val="67DE8146"/>
    <w:rsid w:val="69EB540E"/>
    <w:rsid w:val="6AFF0CEF"/>
    <w:rsid w:val="6BBB7E40"/>
    <w:rsid w:val="6BF757B5"/>
    <w:rsid w:val="6CB77BD6"/>
    <w:rsid w:val="6D7F5A7A"/>
    <w:rsid w:val="6DABF267"/>
    <w:rsid w:val="6DF8337A"/>
    <w:rsid w:val="6DFB3220"/>
    <w:rsid w:val="6E355644"/>
    <w:rsid w:val="6E7AB333"/>
    <w:rsid w:val="6F59B08A"/>
    <w:rsid w:val="6FCDE874"/>
    <w:rsid w:val="6FDFC533"/>
    <w:rsid w:val="6FF61D24"/>
    <w:rsid w:val="70EE96D1"/>
    <w:rsid w:val="71E39B50"/>
    <w:rsid w:val="72FBEB3B"/>
    <w:rsid w:val="733E649F"/>
    <w:rsid w:val="73EB752F"/>
    <w:rsid w:val="73FB74ED"/>
    <w:rsid w:val="73FF4B93"/>
    <w:rsid w:val="73FFC063"/>
    <w:rsid w:val="7517471B"/>
    <w:rsid w:val="757DF429"/>
    <w:rsid w:val="75EFA5A0"/>
    <w:rsid w:val="75FF49D0"/>
    <w:rsid w:val="7627CFEB"/>
    <w:rsid w:val="765AB591"/>
    <w:rsid w:val="768775D6"/>
    <w:rsid w:val="76BFFA7A"/>
    <w:rsid w:val="76D7E738"/>
    <w:rsid w:val="77335073"/>
    <w:rsid w:val="7733C745"/>
    <w:rsid w:val="776FBAF9"/>
    <w:rsid w:val="77AEC953"/>
    <w:rsid w:val="77EFD426"/>
    <w:rsid w:val="77F605D7"/>
    <w:rsid w:val="77FEBFAF"/>
    <w:rsid w:val="78FEE364"/>
    <w:rsid w:val="79BF9E13"/>
    <w:rsid w:val="79D7DEDD"/>
    <w:rsid w:val="79EBD7AC"/>
    <w:rsid w:val="79FFEE31"/>
    <w:rsid w:val="7B5ABAF5"/>
    <w:rsid w:val="7B67C469"/>
    <w:rsid w:val="7BB27C30"/>
    <w:rsid w:val="7BCBCBBF"/>
    <w:rsid w:val="7BFAACF9"/>
    <w:rsid w:val="7BFB19AC"/>
    <w:rsid w:val="7C4F8638"/>
    <w:rsid w:val="7C9FC5D5"/>
    <w:rsid w:val="7CA90A41"/>
    <w:rsid w:val="7CDDB8E1"/>
    <w:rsid w:val="7D1E0873"/>
    <w:rsid w:val="7D1EC0F1"/>
    <w:rsid w:val="7D3D51DC"/>
    <w:rsid w:val="7D76116F"/>
    <w:rsid w:val="7D9C97A4"/>
    <w:rsid w:val="7DDD4E3A"/>
    <w:rsid w:val="7DDFF2EE"/>
    <w:rsid w:val="7DFFD3A6"/>
    <w:rsid w:val="7EBB1895"/>
    <w:rsid w:val="7EBFDBA8"/>
    <w:rsid w:val="7EC56B2C"/>
    <w:rsid w:val="7EE56F0D"/>
    <w:rsid w:val="7EF8C64C"/>
    <w:rsid w:val="7F29E43A"/>
    <w:rsid w:val="7F3FCD9C"/>
    <w:rsid w:val="7F6600B5"/>
    <w:rsid w:val="7F673BE8"/>
    <w:rsid w:val="7F6EE676"/>
    <w:rsid w:val="7F7A00F9"/>
    <w:rsid w:val="7F7FB59E"/>
    <w:rsid w:val="7F9BBEE7"/>
    <w:rsid w:val="7FBDAB5A"/>
    <w:rsid w:val="7FBE158D"/>
    <w:rsid w:val="7FBF37CE"/>
    <w:rsid w:val="7FCE917D"/>
    <w:rsid w:val="7FDC1E98"/>
    <w:rsid w:val="7FDD962F"/>
    <w:rsid w:val="7FE53D7F"/>
    <w:rsid w:val="7FEB567C"/>
    <w:rsid w:val="7FEB5A9E"/>
    <w:rsid w:val="7FEBECEE"/>
    <w:rsid w:val="7FED6E34"/>
    <w:rsid w:val="7FF717B2"/>
    <w:rsid w:val="7FF7B747"/>
    <w:rsid w:val="7FFBA137"/>
    <w:rsid w:val="7FFD4A8E"/>
    <w:rsid w:val="7FFD623F"/>
    <w:rsid w:val="7FFDD21F"/>
    <w:rsid w:val="7FFFC89C"/>
    <w:rsid w:val="7FFFD64F"/>
    <w:rsid w:val="8DFF2485"/>
    <w:rsid w:val="8DFFF446"/>
    <w:rsid w:val="973FCAEE"/>
    <w:rsid w:val="9A764DF6"/>
    <w:rsid w:val="9BF9E64E"/>
    <w:rsid w:val="9D4B5CFF"/>
    <w:rsid w:val="9DFFD1B2"/>
    <w:rsid w:val="9FAF70ED"/>
    <w:rsid w:val="9FDF9B9F"/>
    <w:rsid w:val="9FFF4959"/>
    <w:rsid w:val="A3FDD049"/>
    <w:rsid w:val="A77FBE35"/>
    <w:rsid w:val="ADDF43B1"/>
    <w:rsid w:val="AEADCE48"/>
    <w:rsid w:val="AF2F052B"/>
    <w:rsid w:val="B11F2DF9"/>
    <w:rsid w:val="B5E7D19C"/>
    <w:rsid w:val="B5FDFF63"/>
    <w:rsid w:val="B6673596"/>
    <w:rsid w:val="B7B7E391"/>
    <w:rsid w:val="B7FD7C01"/>
    <w:rsid w:val="B93FF256"/>
    <w:rsid w:val="BA7B23C6"/>
    <w:rsid w:val="BA7FF9EE"/>
    <w:rsid w:val="BB5BA306"/>
    <w:rsid w:val="BBD9DE18"/>
    <w:rsid w:val="BBFBE2CE"/>
    <w:rsid w:val="BBFFED9E"/>
    <w:rsid w:val="BCF62C0F"/>
    <w:rsid w:val="BCFFD24E"/>
    <w:rsid w:val="BDFF5A91"/>
    <w:rsid w:val="BE7EA6B7"/>
    <w:rsid w:val="BE7FC1D1"/>
    <w:rsid w:val="BEFFD012"/>
    <w:rsid w:val="BF8E61E1"/>
    <w:rsid w:val="BFDE5EA2"/>
    <w:rsid w:val="BFFBE42C"/>
    <w:rsid w:val="C295DD6A"/>
    <w:rsid w:val="C5AD532E"/>
    <w:rsid w:val="C6CECC63"/>
    <w:rsid w:val="C73F16D7"/>
    <w:rsid w:val="C7668AE4"/>
    <w:rsid w:val="C7EFBD2E"/>
    <w:rsid w:val="C7FEAD4B"/>
    <w:rsid w:val="C7FFEF64"/>
    <w:rsid w:val="C977BD72"/>
    <w:rsid w:val="CAEE11D7"/>
    <w:rsid w:val="CB2D79D6"/>
    <w:rsid w:val="CB9B0C6E"/>
    <w:rsid w:val="CBDEA8B2"/>
    <w:rsid w:val="CD470B5D"/>
    <w:rsid w:val="CDFB352E"/>
    <w:rsid w:val="CFB7CA2B"/>
    <w:rsid w:val="CFEB64B8"/>
    <w:rsid w:val="D5F73C0B"/>
    <w:rsid w:val="D6D3CCCE"/>
    <w:rsid w:val="D7FF61A7"/>
    <w:rsid w:val="D9BE597B"/>
    <w:rsid w:val="DB18E22F"/>
    <w:rsid w:val="DBCB3D76"/>
    <w:rsid w:val="DDA744ED"/>
    <w:rsid w:val="DDBB60EC"/>
    <w:rsid w:val="DDBB70CE"/>
    <w:rsid w:val="DDD3C99E"/>
    <w:rsid w:val="DEDBD8AC"/>
    <w:rsid w:val="DEFF6FF6"/>
    <w:rsid w:val="DFD31E6B"/>
    <w:rsid w:val="DFDB406E"/>
    <w:rsid w:val="DFEB72E5"/>
    <w:rsid w:val="DFF7921E"/>
    <w:rsid w:val="DFFB6BDC"/>
    <w:rsid w:val="DFFE1D2F"/>
    <w:rsid w:val="DFFE9489"/>
    <w:rsid w:val="DFFF4D6C"/>
    <w:rsid w:val="E4DE0936"/>
    <w:rsid w:val="E5FE1F4D"/>
    <w:rsid w:val="E69B24B0"/>
    <w:rsid w:val="E7174BB4"/>
    <w:rsid w:val="E7FFBB65"/>
    <w:rsid w:val="EB7DCD8B"/>
    <w:rsid w:val="EB9B4240"/>
    <w:rsid w:val="EBAFD55B"/>
    <w:rsid w:val="EDDF486E"/>
    <w:rsid w:val="EEBF742C"/>
    <w:rsid w:val="EEC747BE"/>
    <w:rsid w:val="EF0FA2B2"/>
    <w:rsid w:val="EF37A3C7"/>
    <w:rsid w:val="EF5AE921"/>
    <w:rsid w:val="EF5FE29C"/>
    <w:rsid w:val="EFD6F934"/>
    <w:rsid w:val="EFEF57D9"/>
    <w:rsid w:val="EFEF91EA"/>
    <w:rsid w:val="EFEFA130"/>
    <w:rsid w:val="EFF3609A"/>
    <w:rsid w:val="EFF76B44"/>
    <w:rsid w:val="EFF789DD"/>
    <w:rsid w:val="F26D4717"/>
    <w:rsid w:val="F4BD5454"/>
    <w:rsid w:val="F597A8F9"/>
    <w:rsid w:val="F5AECEC2"/>
    <w:rsid w:val="F5BB6ECA"/>
    <w:rsid w:val="F5EF4152"/>
    <w:rsid w:val="F5FC18E4"/>
    <w:rsid w:val="F6BBA875"/>
    <w:rsid w:val="F6E84206"/>
    <w:rsid w:val="F6EE4054"/>
    <w:rsid w:val="F6EF0FAA"/>
    <w:rsid w:val="F6EF55DF"/>
    <w:rsid w:val="F7130249"/>
    <w:rsid w:val="F72FD5AB"/>
    <w:rsid w:val="F7571BF7"/>
    <w:rsid w:val="F7B62B83"/>
    <w:rsid w:val="F7BEBEF6"/>
    <w:rsid w:val="F7FE1C77"/>
    <w:rsid w:val="F7FF41A6"/>
    <w:rsid w:val="F7FF6682"/>
    <w:rsid w:val="F9E3BACF"/>
    <w:rsid w:val="F9FF6411"/>
    <w:rsid w:val="FABA2785"/>
    <w:rsid w:val="FAFF60D2"/>
    <w:rsid w:val="FB2DEDEA"/>
    <w:rsid w:val="FBBBF16A"/>
    <w:rsid w:val="FBD7702C"/>
    <w:rsid w:val="FBEB9684"/>
    <w:rsid w:val="FBFB747F"/>
    <w:rsid w:val="FBFCD9B5"/>
    <w:rsid w:val="FC2C59A7"/>
    <w:rsid w:val="FC6B7BAE"/>
    <w:rsid w:val="FC9FFAA0"/>
    <w:rsid w:val="FD6789E1"/>
    <w:rsid w:val="FDF7BD3B"/>
    <w:rsid w:val="FDF9CF28"/>
    <w:rsid w:val="FDFD0875"/>
    <w:rsid w:val="FDFDD3B7"/>
    <w:rsid w:val="FE556B1F"/>
    <w:rsid w:val="FE6FA19B"/>
    <w:rsid w:val="FE734873"/>
    <w:rsid w:val="FE97DA5F"/>
    <w:rsid w:val="FEB5394B"/>
    <w:rsid w:val="FEF531DA"/>
    <w:rsid w:val="FF174594"/>
    <w:rsid w:val="FF222591"/>
    <w:rsid w:val="FF3FD2EF"/>
    <w:rsid w:val="FF5B5F07"/>
    <w:rsid w:val="FF5E4631"/>
    <w:rsid w:val="FF6F88D9"/>
    <w:rsid w:val="FF758916"/>
    <w:rsid w:val="FF7A56AE"/>
    <w:rsid w:val="FF7FA19E"/>
    <w:rsid w:val="FF7FD016"/>
    <w:rsid w:val="FF8715DD"/>
    <w:rsid w:val="FF9764E5"/>
    <w:rsid w:val="FFB78625"/>
    <w:rsid w:val="FFCBC3F7"/>
    <w:rsid w:val="FFDFF2B7"/>
    <w:rsid w:val="FFECF27D"/>
    <w:rsid w:val="FFEE2DA1"/>
    <w:rsid w:val="FFEF427E"/>
    <w:rsid w:val="FFEF8CE0"/>
    <w:rsid w:val="FFF27FAA"/>
    <w:rsid w:val="FFF75D01"/>
    <w:rsid w:val="FFF7FBCF"/>
    <w:rsid w:val="FFF9AABF"/>
    <w:rsid w:val="FFFBB0A1"/>
    <w:rsid w:val="FFFBF0E3"/>
    <w:rsid w:val="FFFDD4D0"/>
    <w:rsid w:val="FFFFA24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widowControl/>
      <w:spacing w:line="500" w:lineRule="exact"/>
      <w:jc w:val="left"/>
    </w:pPr>
    <w:rPr>
      <w:rFonts w:ascii="仿宋_GB2312" w:hAnsi="宋体" w:eastAsia="仿宋_GB2312"/>
      <w:kern w:val="0"/>
      <w:sz w:val="30"/>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Normal (Web)"/>
    <w:basedOn w:val="1"/>
    <w:qFormat/>
    <w:uiPriority w:val="99"/>
    <w:pPr>
      <w:widowControl/>
      <w:jc w:val="left"/>
    </w:pPr>
    <w:rPr>
      <w:rFonts w:ascii="宋体" w:hAnsi="宋体" w:cs="宋体"/>
      <w:kern w:val="0"/>
      <w:sz w:val="24"/>
    </w:rPr>
  </w:style>
  <w:style w:type="character" w:styleId="7">
    <w:name w:val="Strong"/>
    <w:basedOn w:val="6"/>
    <w:qFormat/>
    <w:uiPriority w:val="0"/>
    <w:rPr>
      <w:b/>
    </w:rPr>
  </w:style>
  <w:style w:type="character" w:styleId="8">
    <w:name w:val="page number"/>
    <w:basedOn w:val="6"/>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Pages>
  <Words>2931</Words>
  <Characters>3085</Characters>
  <Lines>0</Lines>
  <Paragraphs>0</Paragraphs>
  <TotalTime>79</TotalTime>
  <ScaleCrop>false</ScaleCrop>
  <LinksUpToDate>false</LinksUpToDate>
  <CharactersWithSpaces>3094</CharactersWithSpaces>
  <Application>WPS Office_11.8.2.10505_F1E327BC-269C-435d-A152-05C5408002CA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2021-06-28T01:26:00Z</dcterms:created>
  <dc:creator>sxdx</dc:creator>
  <cp:lastModifiedBy>huawei</cp:lastModifiedBy>
  <cp:lastPrinted>2025-05-24T02:33:00Z</cp:lastPrinted>
  <dcterms:modified xsi:type="dcterms:W3CDTF">2025-08-20T15:14:40Z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2052-11.8.2.10505</vt:lpwstr>
  </property>
  <property fmtid="{D5CDD505-2E9C-101B-9397-08002B2CF9AE}" pid="3" name="ICV">
    <vt:lpwstr>F6E3BC2AF1FD4314B6AAFD258334D0E9</vt:lpwstr>
  </property>
</Properties>
</file>