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6A5497">
      <w:pPr>
        <w:keepNext w:val="0"/>
        <w:keepLines w:val="0"/>
        <w:pageBreakBefore w:val="0"/>
        <w:widowControl w:val="0"/>
        <w:kinsoku/>
        <w:wordWrap/>
        <w:overflowPunct/>
        <w:topLinePunct w:val="0"/>
        <w:autoSpaceDE/>
        <w:autoSpaceDN/>
        <w:bidi w:val="0"/>
        <w:adjustRightInd/>
        <w:snapToGrid/>
        <w:spacing w:after="157" w:afterLines="50"/>
        <w:jc w:val="center"/>
        <w:textAlignment w:val="auto"/>
        <w:rPr>
          <w:rFonts w:hint="eastAsia" w:ascii="华文中宋" w:hAnsi="华文中宋" w:eastAsia="华文中宋" w:cs="华文中宋"/>
          <w:sz w:val="32"/>
          <w:szCs w:val="32"/>
        </w:rPr>
      </w:pPr>
      <w:r>
        <w:rPr>
          <w:rFonts w:hint="eastAsia" w:ascii="华文中宋" w:hAnsi="华文中宋" w:eastAsia="华文中宋" w:cs="华文中宋"/>
          <w:sz w:val="32"/>
          <w:szCs w:val="32"/>
        </w:rPr>
        <w:t>海尼集团202</w:t>
      </w:r>
      <w:r>
        <w:rPr>
          <w:rFonts w:hint="eastAsia" w:ascii="华文中宋" w:hAnsi="华文中宋" w:eastAsia="华文中宋" w:cs="华文中宋"/>
          <w:sz w:val="32"/>
          <w:szCs w:val="32"/>
          <w:lang w:val="en-US" w:eastAsia="zh-CN"/>
        </w:rPr>
        <w:t>6</w:t>
      </w:r>
      <w:r>
        <w:rPr>
          <w:rFonts w:hint="eastAsia" w:ascii="华文中宋" w:hAnsi="华文中宋" w:eastAsia="华文中宋" w:cs="华文中宋"/>
          <w:sz w:val="32"/>
          <w:szCs w:val="32"/>
        </w:rPr>
        <w:t>届校园招聘-招聘简章</w:t>
      </w:r>
    </w:p>
    <w:p w14:paraId="2865A3A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华文楷体" w:hAnsi="华文楷体" w:eastAsia="华文楷体" w:cs="华文楷体"/>
          <w:b/>
          <w:bCs/>
          <w:sz w:val="21"/>
          <w:szCs w:val="21"/>
        </w:rPr>
      </w:pPr>
      <w:r>
        <w:rPr>
          <w:rFonts w:hint="eastAsia" w:ascii="华文楷体" w:hAnsi="华文楷体" w:eastAsia="华文楷体" w:cs="华文楷体"/>
          <w:b/>
          <w:bCs/>
          <w:sz w:val="21"/>
          <w:szCs w:val="21"/>
        </w:rPr>
        <w:t>一、关于海尼</w:t>
      </w:r>
    </w:p>
    <w:p w14:paraId="24760B8E">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华文楷体" w:hAnsi="华文楷体" w:eastAsia="华文楷体" w:cs="华文楷体"/>
          <w:sz w:val="20"/>
          <w:szCs w:val="20"/>
        </w:rPr>
      </w:pPr>
      <w:r>
        <w:rPr>
          <w:rFonts w:hint="eastAsia" w:ascii="华文楷体" w:hAnsi="华文楷体" w:eastAsia="华文楷体" w:cs="华文楷体"/>
          <w:sz w:val="20"/>
          <w:szCs w:val="20"/>
        </w:rPr>
        <w:t>海尼集团成立于 2012年，总部位于厦门市集美区，并在广州、杭州、深圳等地设立分公司。经过十余载精耕细作，已成长为一家集研发创新、销售运营与品牌孵化于一体的综合性品牌集团，业务覆盖美妆、日化、家清等领域。集团旗下拥有 KAZ00、BUV 等自主品牌，在抖音、天猫、京东等主流电商平台表现优异。其中 KAZ00 品牌上市后连续两年蝉联抖音、天猫相关品类销量冠军 BUV 控油洁面产品荣获 2023年度国货控油洁面产品全国销量第一的佳绩。在巩固国内市场领先地位的同时，集团积极开拓全球市场致力于将优质国货品牌推向国际舞台。</w:t>
      </w:r>
    </w:p>
    <w:p w14:paraId="05B6CFD6">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华文楷体" w:hAnsi="华文楷体" w:eastAsia="华文楷体" w:cs="华文楷体"/>
          <w:sz w:val="20"/>
          <w:szCs w:val="20"/>
        </w:rPr>
      </w:pPr>
      <w:r>
        <w:rPr>
          <w:rFonts w:hint="eastAsia" w:ascii="华文楷体" w:hAnsi="华文楷体" w:eastAsia="华文楷体" w:cs="华文楷体"/>
          <w:sz w:val="20"/>
          <w:szCs w:val="20"/>
        </w:rPr>
        <w:t>海尼集团的发展赢得了广泛的社会认可，2024年荣膺“集美区纳税大户”称号，并担任“厦门市集美区化妆品协会会长单位”。集团始终秉持“成就他人，成就更好的自己”的核心理念，持续为社会创造价值。</w:t>
      </w:r>
    </w:p>
    <w:p w14:paraId="6144D012">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华文楷体" w:hAnsi="华文楷体" w:eastAsia="华文楷体" w:cs="华文楷体"/>
          <w:sz w:val="18"/>
          <w:szCs w:val="18"/>
        </w:rPr>
      </w:pPr>
      <w:r>
        <w:rPr>
          <w:rFonts w:hint="eastAsia" w:ascii="华文楷体" w:hAnsi="华文楷体" w:eastAsia="华文楷体" w:cs="华文楷体"/>
          <w:sz w:val="20"/>
          <w:szCs w:val="20"/>
        </w:rPr>
        <w:t>展望未来，海尼集团全体成员将以“2035年成为最受信赖的消费品企业”为愿景，坚守“助力每位伙伴变得更好，为人类的美与健康做出贡献”的企业使命，为消费品行业贡献力量。</w:t>
      </w:r>
    </w:p>
    <w:p w14:paraId="579E234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华文楷体" w:hAnsi="华文楷体" w:eastAsia="华文楷体" w:cs="华文楷体"/>
          <w:b/>
          <w:bCs/>
          <w:sz w:val="21"/>
          <w:szCs w:val="21"/>
        </w:rPr>
      </w:pPr>
      <w:r>
        <w:rPr>
          <w:rFonts w:hint="eastAsia" w:ascii="华文楷体" w:hAnsi="华文楷体" w:eastAsia="华文楷体" w:cs="华文楷体"/>
          <w:b/>
          <w:bCs/>
          <w:sz w:val="21"/>
          <w:szCs w:val="21"/>
        </w:rPr>
        <w:t>二、招聘对象</w:t>
      </w:r>
    </w:p>
    <w:p w14:paraId="39154B6F">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华文楷体" w:hAnsi="华文楷体" w:eastAsia="华文楷体" w:cs="华文楷体"/>
          <w:sz w:val="20"/>
          <w:szCs w:val="20"/>
        </w:rPr>
      </w:pPr>
      <w:r>
        <w:rPr>
          <w:rFonts w:hint="eastAsia" w:ascii="华文楷体" w:hAnsi="华文楷体" w:eastAsia="华文楷体" w:cs="华文楷体"/>
          <w:sz w:val="20"/>
          <w:szCs w:val="20"/>
          <w:lang w:val="en-US" w:eastAsia="zh-CN"/>
        </w:rPr>
        <w:t>2026</w:t>
      </w:r>
      <w:r>
        <w:rPr>
          <w:rFonts w:hint="eastAsia" w:ascii="华文楷体" w:hAnsi="华文楷体" w:eastAsia="华文楷体" w:cs="华文楷体"/>
          <w:sz w:val="20"/>
          <w:szCs w:val="20"/>
        </w:rPr>
        <w:t>届</w:t>
      </w:r>
      <w:r>
        <w:rPr>
          <w:rFonts w:hint="eastAsia" w:ascii="华文楷体" w:hAnsi="华文楷体" w:eastAsia="华文楷体" w:cs="华文楷体"/>
          <w:sz w:val="20"/>
          <w:szCs w:val="20"/>
          <w:lang w:val="en-US" w:eastAsia="zh-CN"/>
        </w:rPr>
        <w:t>应届</w:t>
      </w:r>
      <w:r>
        <w:rPr>
          <w:rFonts w:hint="eastAsia" w:ascii="华文楷体" w:hAnsi="华文楷体" w:eastAsia="华文楷体" w:cs="华文楷体"/>
          <w:sz w:val="20"/>
          <w:szCs w:val="20"/>
        </w:rPr>
        <w:t>毕业生，毕业时间为202</w:t>
      </w:r>
      <w:r>
        <w:rPr>
          <w:rFonts w:hint="eastAsia" w:ascii="华文楷体" w:hAnsi="华文楷体" w:eastAsia="华文楷体" w:cs="华文楷体"/>
          <w:sz w:val="20"/>
          <w:szCs w:val="20"/>
          <w:lang w:val="en-US" w:eastAsia="zh-CN"/>
        </w:rPr>
        <w:t>5</w:t>
      </w:r>
      <w:r>
        <w:rPr>
          <w:rFonts w:hint="eastAsia" w:ascii="华文楷体" w:hAnsi="华文楷体" w:eastAsia="华文楷体" w:cs="华文楷体"/>
          <w:sz w:val="20"/>
          <w:szCs w:val="20"/>
        </w:rPr>
        <w:t>年9月 1日-202</w:t>
      </w:r>
      <w:r>
        <w:rPr>
          <w:rFonts w:hint="eastAsia" w:ascii="华文楷体" w:hAnsi="华文楷体" w:eastAsia="华文楷体" w:cs="华文楷体"/>
          <w:sz w:val="20"/>
          <w:szCs w:val="20"/>
          <w:lang w:val="en-US" w:eastAsia="zh-CN"/>
        </w:rPr>
        <w:t>6</w:t>
      </w:r>
      <w:r>
        <w:rPr>
          <w:rFonts w:hint="eastAsia" w:ascii="华文楷体" w:hAnsi="华文楷体" w:eastAsia="华文楷体" w:cs="华文楷体"/>
          <w:sz w:val="20"/>
          <w:szCs w:val="20"/>
        </w:rPr>
        <w:t>年</w:t>
      </w:r>
      <w:r>
        <w:rPr>
          <w:rFonts w:hint="eastAsia" w:ascii="华文楷体" w:hAnsi="华文楷体" w:eastAsia="华文楷体" w:cs="华文楷体"/>
          <w:sz w:val="20"/>
          <w:szCs w:val="20"/>
          <w:lang w:val="en-US" w:eastAsia="zh-CN"/>
        </w:rPr>
        <w:t>7</w:t>
      </w:r>
      <w:r>
        <w:rPr>
          <w:rFonts w:hint="eastAsia" w:ascii="华文楷体" w:hAnsi="华文楷体" w:eastAsia="华文楷体" w:cs="华文楷体"/>
          <w:sz w:val="20"/>
          <w:szCs w:val="20"/>
        </w:rPr>
        <w:t>月1日</w:t>
      </w:r>
    </w:p>
    <w:p w14:paraId="621D3C20">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华文楷体" w:hAnsi="华文楷体" w:eastAsia="华文楷体" w:cs="华文楷体"/>
          <w:sz w:val="20"/>
          <w:szCs w:val="20"/>
        </w:rPr>
      </w:pPr>
      <w:r>
        <w:rPr>
          <w:rFonts w:hint="eastAsia" w:ascii="华文楷体" w:hAnsi="华文楷体" w:eastAsia="华文楷体" w:cs="华文楷体"/>
          <w:sz w:val="20"/>
          <w:szCs w:val="20"/>
        </w:rPr>
        <w:t>（中国大陆以毕业证为准，中国港澳台及海外地区以学位证为准）</w:t>
      </w:r>
    </w:p>
    <w:p w14:paraId="6C3BCDB6">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华文楷体" w:hAnsi="华文楷体" w:eastAsia="华文楷体" w:cs="华文楷体"/>
          <w:sz w:val="20"/>
          <w:szCs w:val="20"/>
        </w:rPr>
      </w:pPr>
    </w:p>
    <w:p w14:paraId="3433E90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华文楷体" w:hAnsi="华文楷体" w:eastAsia="华文楷体" w:cs="华文楷体"/>
          <w:b/>
          <w:bCs/>
          <w:sz w:val="21"/>
          <w:szCs w:val="21"/>
        </w:rPr>
      </w:pPr>
      <w:r>
        <w:rPr>
          <w:rFonts w:hint="eastAsia" w:ascii="华文楷体" w:hAnsi="华文楷体" w:eastAsia="华文楷体" w:cs="华文楷体"/>
          <w:b/>
          <w:bCs/>
          <w:sz w:val="21"/>
          <w:szCs w:val="21"/>
        </w:rPr>
        <w:t>三、招聘岗位</w:t>
      </w:r>
    </w:p>
    <w:p w14:paraId="068CF970">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default" w:ascii="华文楷体" w:hAnsi="华文楷体" w:eastAsia="华文楷体" w:cs="华文楷体"/>
          <w:sz w:val="20"/>
          <w:szCs w:val="20"/>
          <w:lang w:val="en-US" w:eastAsia="zh-CN"/>
        </w:rPr>
      </w:pPr>
      <w:r>
        <w:rPr>
          <w:rFonts w:hint="eastAsia" w:ascii="华文楷体" w:hAnsi="华文楷体" w:eastAsia="华文楷体" w:cs="华文楷体"/>
          <w:sz w:val="20"/>
          <w:szCs w:val="20"/>
        </w:rPr>
        <w:t>工作地点：</w:t>
      </w:r>
      <w:r>
        <w:rPr>
          <w:rFonts w:hint="eastAsia" w:ascii="华文楷体" w:hAnsi="华文楷体" w:eastAsia="华文楷体" w:cs="华文楷体"/>
          <w:sz w:val="20"/>
          <w:szCs w:val="20"/>
          <w:lang w:val="en-US" w:eastAsia="zh-CN"/>
        </w:rPr>
        <w:t>厦门市/广州市/杭州市</w:t>
      </w:r>
    </w:p>
    <w:tbl>
      <w:tblPr>
        <w:tblStyle w:val="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413"/>
        <w:gridCol w:w="1307"/>
        <w:gridCol w:w="1662"/>
        <w:gridCol w:w="5412"/>
      </w:tblGrid>
      <w:tr w14:paraId="60C2E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80" w:hRule="atLeast"/>
        </w:trPr>
        <w:tc>
          <w:tcPr>
            <w:tcW w:w="721" w:type="pct"/>
            <w:tcBorders>
              <w:top w:val="single" w:color="000000" w:sz="4" w:space="0"/>
              <w:left w:val="single" w:color="000000" w:sz="4" w:space="0"/>
              <w:bottom w:val="single" w:color="000000" w:sz="4" w:space="0"/>
              <w:right w:val="single" w:color="000000" w:sz="4" w:space="0"/>
            </w:tcBorders>
            <w:shd w:val="clear" w:color="auto" w:fill="auto"/>
            <w:noWrap/>
            <w:tcMar>
              <w:top w:w="17" w:type="dxa"/>
              <w:left w:w="26" w:type="dxa"/>
              <w:bottom w:w="17" w:type="dxa"/>
              <w:right w:w="26" w:type="dxa"/>
            </w:tcMar>
            <w:vAlign w:val="center"/>
          </w:tcPr>
          <w:p w14:paraId="419322DE">
            <w:pPr>
              <w:keepNext w:val="0"/>
              <w:keepLines w:val="0"/>
              <w:widowControl/>
              <w:suppressLineNumbers w:val="0"/>
              <w:jc w:val="center"/>
              <w:rPr>
                <w:rFonts w:ascii="楷体_GB2312" w:hAnsi="楷体_GB2312" w:eastAsia="楷体_GB2312" w:cs="楷体_GB2312"/>
                <w:b/>
                <w:bCs/>
                <w:sz w:val="18"/>
                <w:szCs w:val="18"/>
              </w:rPr>
            </w:pPr>
            <w:r>
              <w:rPr>
                <w:rFonts w:ascii="楷体_GB2312" w:hAnsi="楷体_GB2312" w:eastAsia="楷体_GB2312" w:cs="楷体_GB2312"/>
                <w:b/>
                <w:bCs/>
                <w:kern w:val="0"/>
                <w:sz w:val="18"/>
                <w:szCs w:val="18"/>
                <w:lang w:val="en-US" w:eastAsia="zh-CN" w:bidi="ar"/>
              </w:rPr>
              <w:t>招聘项目</w:t>
            </w:r>
          </w:p>
        </w:tc>
        <w:tc>
          <w:tcPr>
            <w:tcW w:w="667" w:type="pct"/>
            <w:tcBorders>
              <w:top w:val="single" w:color="000000" w:sz="4" w:space="0"/>
              <w:left w:val="single" w:color="000000" w:sz="4" w:space="0"/>
              <w:bottom w:val="single" w:color="000000" w:sz="4" w:space="0"/>
              <w:right w:val="single" w:color="000000" w:sz="4" w:space="0"/>
            </w:tcBorders>
            <w:shd w:val="clear" w:color="auto" w:fill="auto"/>
            <w:noWrap/>
            <w:tcMar>
              <w:top w:w="17" w:type="dxa"/>
              <w:left w:w="26" w:type="dxa"/>
              <w:bottom w:w="17" w:type="dxa"/>
              <w:right w:w="26" w:type="dxa"/>
            </w:tcMar>
            <w:vAlign w:val="center"/>
          </w:tcPr>
          <w:p w14:paraId="4C07B53E">
            <w:pPr>
              <w:keepNext w:val="0"/>
              <w:keepLines w:val="0"/>
              <w:widowControl/>
              <w:suppressLineNumbers w:val="0"/>
              <w:jc w:val="center"/>
              <w:rPr>
                <w:rFonts w:ascii="楷体_GB2312" w:hAnsi="楷体_GB2312" w:eastAsia="楷体_GB2312" w:cs="楷体_GB2312"/>
                <w:b/>
                <w:bCs/>
                <w:sz w:val="18"/>
                <w:szCs w:val="18"/>
              </w:rPr>
            </w:pPr>
            <w:r>
              <w:rPr>
                <w:rFonts w:ascii="楷体_GB2312" w:hAnsi="楷体_GB2312" w:eastAsia="楷体_GB2312" w:cs="楷体_GB2312"/>
                <w:b/>
                <w:bCs/>
                <w:kern w:val="0"/>
                <w:sz w:val="18"/>
                <w:szCs w:val="18"/>
                <w:lang w:val="en-US" w:eastAsia="zh-CN" w:bidi="ar"/>
              </w:rPr>
              <w:t>岗位名称</w:t>
            </w:r>
          </w:p>
        </w:tc>
        <w:tc>
          <w:tcPr>
            <w:tcW w:w="848" w:type="pct"/>
            <w:tcBorders>
              <w:top w:val="single" w:color="000000" w:sz="4" w:space="0"/>
              <w:left w:val="single" w:color="000000" w:sz="4" w:space="0"/>
              <w:bottom w:val="single" w:color="000000" w:sz="4" w:space="0"/>
              <w:right w:val="single" w:color="000000" w:sz="4" w:space="0"/>
            </w:tcBorders>
            <w:shd w:val="clear" w:color="auto" w:fill="auto"/>
            <w:tcMar>
              <w:top w:w="17" w:type="dxa"/>
              <w:left w:w="26" w:type="dxa"/>
              <w:bottom w:w="17" w:type="dxa"/>
              <w:right w:w="26" w:type="dxa"/>
            </w:tcMar>
            <w:vAlign w:val="center"/>
          </w:tcPr>
          <w:p w14:paraId="249EEF39">
            <w:pPr>
              <w:keepNext w:val="0"/>
              <w:keepLines w:val="0"/>
              <w:widowControl/>
              <w:suppressLineNumbers w:val="0"/>
              <w:jc w:val="center"/>
              <w:rPr>
                <w:rFonts w:ascii="楷体_GB2312" w:hAnsi="楷体_GB2312" w:eastAsia="楷体_GB2312" w:cs="楷体_GB2312"/>
                <w:b/>
                <w:bCs/>
                <w:sz w:val="18"/>
                <w:szCs w:val="18"/>
              </w:rPr>
            </w:pPr>
            <w:r>
              <w:rPr>
                <w:rFonts w:ascii="楷体_GB2312" w:hAnsi="楷体_GB2312" w:eastAsia="楷体_GB2312" w:cs="楷体_GB2312"/>
                <w:b/>
                <w:bCs/>
                <w:kern w:val="0"/>
                <w:sz w:val="18"/>
                <w:szCs w:val="18"/>
                <w:lang w:val="en-US" w:eastAsia="zh-CN" w:bidi="ar"/>
              </w:rPr>
              <w:t>学历要求</w:t>
            </w:r>
          </w:p>
        </w:tc>
        <w:tc>
          <w:tcPr>
            <w:tcW w:w="2762" w:type="pct"/>
            <w:tcBorders>
              <w:top w:val="single" w:color="000000" w:sz="4" w:space="0"/>
              <w:left w:val="single" w:color="000000" w:sz="4" w:space="0"/>
              <w:bottom w:val="single" w:color="000000" w:sz="4" w:space="0"/>
              <w:right w:val="single" w:color="000000" w:sz="4" w:space="0"/>
            </w:tcBorders>
            <w:shd w:val="clear" w:color="auto" w:fill="auto"/>
            <w:tcMar>
              <w:top w:w="17" w:type="dxa"/>
              <w:left w:w="26" w:type="dxa"/>
              <w:bottom w:w="17" w:type="dxa"/>
              <w:right w:w="26" w:type="dxa"/>
            </w:tcMar>
            <w:vAlign w:val="center"/>
          </w:tcPr>
          <w:p w14:paraId="1512A3F0">
            <w:pPr>
              <w:keepNext w:val="0"/>
              <w:keepLines w:val="0"/>
              <w:widowControl/>
              <w:suppressLineNumbers w:val="0"/>
              <w:jc w:val="center"/>
              <w:rPr>
                <w:rFonts w:ascii="楷体_GB2312" w:hAnsi="楷体_GB2312" w:eastAsia="楷体_GB2312" w:cs="楷体_GB2312"/>
                <w:b/>
                <w:bCs/>
                <w:sz w:val="18"/>
                <w:szCs w:val="18"/>
              </w:rPr>
            </w:pPr>
            <w:r>
              <w:rPr>
                <w:rFonts w:ascii="楷体_GB2312" w:hAnsi="楷体_GB2312" w:eastAsia="楷体_GB2312" w:cs="楷体_GB2312"/>
                <w:b/>
                <w:bCs/>
                <w:kern w:val="0"/>
                <w:sz w:val="18"/>
                <w:szCs w:val="18"/>
                <w:lang w:val="en-US" w:eastAsia="zh-CN" w:bidi="ar"/>
              </w:rPr>
              <w:t>招录要求</w:t>
            </w:r>
          </w:p>
        </w:tc>
      </w:tr>
      <w:tr w14:paraId="7EF13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079" w:hRule="atLeast"/>
        </w:trPr>
        <w:tc>
          <w:tcPr>
            <w:tcW w:w="721" w:type="pct"/>
            <w:tcBorders>
              <w:top w:val="single" w:color="000000" w:sz="4" w:space="0"/>
              <w:left w:val="single" w:color="000000" w:sz="4" w:space="0"/>
              <w:bottom w:val="single" w:color="000000" w:sz="4" w:space="0"/>
              <w:right w:val="single" w:color="000000" w:sz="4" w:space="0"/>
            </w:tcBorders>
            <w:shd w:val="clear" w:color="auto" w:fill="auto"/>
            <w:noWrap/>
            <w:tcMar>
              <w:top w:w="17" w:type="dxa"/>
              <w:left w:w="26" w:type="dxa"/>
              <w:bottom w:w="17" w:type="dxa"/>
              <w:right w:w="26" w:type="dxa"/>
            </w:tcMar>
            <w:vAlign w:val="center"/>
          </w:tcPr>
          <w:p w14:paraId="0CD42212">
            <w:pPr>
              <w:keepNext w:val="0"/>
              <w:keepLines w:val="0"/>
              <w:widowControl/>
              <w:suppressLineNumbers w:val="0"/>
              <w:jc w:val="center"/>
              <w:rPr>
                <w:rFonts w:ascii="楷体_GB2312" w:hAnsi="楷体_GB2312" w:eastAsia="楷体_GB2312" w:cs="楷体_GB2312"/>
                <w:kern w:val="0"/>
                <w:sz w:val="18"/>
                <w:szCs w:val="18"/>
                <w:lang w:val="en-US" w:eastAsia="zh-CN" w:bidi="ar"/>
              </w:rPr>
            </w:pPr>
            <w:r>
              <w:rPr>
                <w:rFonts w:ascii="楷体_GB2312" w:hAnsi="楷体_GB2312" w:eastAsia="楷体_GB2312" w:cs="楷体_GB2312"/>
                <w:kern w:val="0"/>
                <w:sz w:val="18"/>
                <w:szCs w:val="18"/>
                <w:lang w:val="en-US" w:eastAsia="zh-CN" w:bidi="ar"/>
              </w:rPr>
              <w:t>博士生</w:t>
            </w:r>
          </w:p>
          <w:p w14:paraId="4A7F1B25">
            <w:pPr>
              <w:keepNext w:val="0"/>
              <w:keepLines w:val="0"/>
              <w:widowControl/>
              <w:suppressLineNumbers w:val="0"/>
              <w:jc w:val="center"/>
              <w:rPr>
                <w:rFonts w:ascii="楷体_GB2312" w:hAnsi="楷体_GB2312" w:eastAsia="楷体_GB2312" w:cs="楷体_GB2312"/>
                <w:sz w:val="18"/>
                <w:szCs w:val="18"/>
              </w:rPr>
            </w:pPr>
            <w:r>
              <w:rPr>
                <w:rFonts w:ascii="楷体_GB2312" w:hAnsi="楷体_GB2312" w:eastAsia="楷体_GB2312" w:cs="楷体_GB2312"/>
                <w:kern w:val="0"/>
                <w:sz w:val="18"/>
                <w:szCs w:val="18"/>
                <w:lang w:val="en-US" w:eastAsia="zh-CN" w:bidi="ar"/>
              </w:rPr>
              <w:t>专属投递通道</w:t>
            </w:r>
          </w:p>
        </w:tc>
        <w:tc>
          <w:tcPr>
            <w:tcW w:w="667" w:type="pct"/>
            <w:tcBorders>
              <w:top w:val="single" w:color="000000" w:sz="4" w:space="0"/>
              <w:left w:val="single" w:color="000000" w:sz="4" w:space="0"/>
              <w:bottom w:val="single" w:color="000000" w:sz="4" w:space="0"/>
              <w:right w:val="single" w:color="000000" w:sz="4" w:space="0"/>
            </w:tcBorders>
            <w:shd w:val="clear" w:color="auto" w:fill="auto"/>
            <w:noWrap/>
            <w:tcMar>
              <w:top w:w="17" w:type="dxa"/>
              <w:left w:w="26" w:type="dxa"/>
              <w:bottom w:w="17" w:type="dxa"/>
              <w:right w:w="26" w:type="dxa"/>
            </w:tcMar>
            <w:vAlign w:val="center"/>
          </w:tcPr>
          <w:p w14:paraId="61506CC9">
            <w:pPr>
              <w:keepNext w:val="0"/>
              <w:keepLines w:val="0"/>
              <w:widowControl/>
              <w:suppressLineNumbers w:val="0"/>
              <w:jc w:val="center"/>
              <w:rPr>
                <w:rFonts w:ascii="楷体_GB2312" w:hAnsi="楷体_GB2312" w:eastAsia="楷体_GB2312" w:cs="楷体_GB2312"/>
                <w:sz w:val="18"/>
                <w:szCs w:val="18"/>
              </w:rPr>
            </w:pPr>
            <w:r>
              <w:rPr>
                <w:rFonts w:ascii="楷体_GB2312" w:hAnsi="楷体_GB2312" w:eastAsia="楷体_GB2312" w:cs="楷体_GB2312"/>
                <w:kern w:val="0"/>
                <w:sz w:val="18"/>
                <w:szCs w:val="18"/>
                <w:lang w:val="en-US" w:eastAsia="zh-CN" w:bidi="ar"/>
              </w:rPr>
              <w:t>/</w:t>
            </w:r>
          </w:p>
        </w:tc>
        <w:tc>
          <w:tcPr>
            <w:tcW w:w="848" w:type="pct"/>
            <w:tcBorders>
              <w:top w:val="single" w:color="000000" w:sz="4" w:space="0"/>
              <w:left w:val="single" w:color="000000" w:sz="4" w:space="0"/>
              <w:bottom w:val="single" w:color="000000" w:sz="4" w:space="0"/>
              <w:right w:val="single" w:color="000000" w:sz="4" w:space="0"/>
            </w:tcBorders>
            <w:shd w:val="clear" w:color="auto" w:fill="auto"/>
            <w:tcMar>
              <w:top w:w="17" w:type="dxa"/>
              <w:left w:w="26" w:type="dxa"/>
              <w:bottom w:w="17" w:type="dxa"/>
              <w:right w:w="26" w:type="dxa"/>
            </w:tcMar>
            <w:vAlign w:val="center"/>
          </w:tcPr>
          <w:p w14:paraId="643F89D1">
            <w:pPr>
              <w:keepNext w:val="0"/>
              <w:keepLines w:val="0"/>
              <w:widowControl/>
              <w:suppressLineNumbers w:val="0"/>
              <w:jc w:val="center"/>
              <w:rPr>
                <w:rFonts w:ascii="楷体_GB2312" w:hAnsi="楷体_GB2312" w:eastAsia="楷体_GB2312" w:cs="楷体_GB2312"/>
                <w:sz w:val="18"/>
                <w:szCs w:val="18"/>
              </w:rPr>
            </w:pPr>
            <w:r>
              <w:rPr>
                <w:rFonts w:ascii="楷体_GB2312" w:hAnsi="楷体_GB2312" w:eastAsia="楷体_GB2312" w:cs="楷体_GB2312"/>
                <w:kern w:val="0"/>
                <w:sz w:val="18"/>
                <w:szCs w:val="18"/>
                <w:lang w:val="en-US" w:eastAsia="zh-CN" w:bidi="ar"/>
              </w:rPr>
              <w:t>博士研究生</w:t>
            </w:r>
          </w:p>
        </w:tc>
        <w:tc>
          <w:tcPr>
            <w:tcW w:w="2762" w:type="pct"/>
            <w:tcBorders>
              <w:top w:val="single" w:color="000000" w:sz="4" w:space="0"/>
              <w:left w:val="single" w:color="000000" w:sz="4" w:space="0"/>
              <w:bottom w:val="single" w:color="000000" w:sz="4" w:space="0"/>
              <w:right w:val="single" w:color="000000" w:sz="4" w:space="0"/>
            </w:tcBorders>
            <w:shd w:val="clear" w:color="auto" w:fill="auto"/>
            <w:tcMar>
              <w:top w:w="17" w:type="dxa"/>
              <w:left w:w="26" w:type="dxa"/>
              <w:bottom w:w="17" w:type="dxa"/>
              <w:right w:w="26" w:type="dxa"/>
            </w:tcMar>
            <w:vAlign w:val="center"/>
          </w:tcPr>
          <w:p w14:paraId="035E645C">
            <w:pPr>
              <w:keepNext w:val="0"/>
              <w:keepLines w:val="0"/>
              <w:widowControl/>
              <w:suppressLineNumbers w:val="0"/>
              <w:jc w:val="left"/>
              <w:rPr>
                <w:rFonts w:ascii="楷体_GB2312" w:hAnsi="楷体_GB2312" w:eastAsia="楷体_GB2312" w:cs="楷体_GB2312"/>
                <w:sz w:val="18"/>
                <w:szCs w:val="18"/>
              </w:rPr>
            </w:pPr>
            <w:r>
              <w:rPr>
                <w:rFonts w:ascii="楷体_GB2312" w:hAnsi="楷体_GB2312" w:eastAsia="楷体_GB2312" w:cs="楷体_GB2312"/>
                <w:kern w:val="0"/>
                <w:sz w:val="18"/>
                <w:szCs w:val="18"/>
                <w:lang w:val="en-US" w:eastAsia="zh-CN" w:bidi="ar"/>
              </w:rPr>
              <w:t>1.热爱日化美妆行业，具备深耕细分领域的强烈意愿；</w:t>
            </w:r>
            <w:r>
              <w:rPr>
                <w:rFonts w:ascii="楷体_GB2312" w:hAnsi="楷体_GB2312" w:eastAsia="楷体_GB2312" w:cs="楷体_GB2312"/>
                <w:kern w:val="0"/>
                <w:sz w:val="18"/>
                <w:szCs w:val="18"/>
                <w:lang w:val="en-US" w:eastAsia="zh-CN" w:bidi="ar"/>
              </w:rPr>
              <w:br w:type="textWrapping"/>
            </w:r>
            <w:r>
              <w:rPr>
                <w:rFonts w:ascii="楷体_GB2312" w:hAnsi="楷体_GB2312" w:eastAsia="楷体_GB2312" w:cs="楷体_GB2312"/>
                <w:kern w:val="0"/>
                <w:sz w:val="18"/>
                <w:szCs w:val="18"/>
                <w:lang w:val="en-US" w:eastAsia="zh-CN" w:bidi="ar"/>
              </w:rPr>
              <w:t>2.认同日化美妆产业价值，致力于通过技术创新推动行业升级；</w:t>
            </w:r>
            <w:r>
              <w:rPr>
                <w:rFonts w:ascii="楷体_GB2312" w:hAnsi="楷体_GB2312" w:eastAsia="楷体_GB2312" w:cs="楷体_GB2312"/>
                <w:kern w:val="0"/>
                <w:sz w:val="18"/>
                <w:szCs w:val="18"/>
                <w:lang w:val="en-US" w:eastAsia="zh-CN" w:bidi="ar"/>
              </w:rPr>
              <w:br w:type="textWrapping"/>
            </w:r>
            <w:r>
              <w:rPr>
                <w:rFonts w:ascii="楷体_GB2312" w:hAnsi="楷体_GB2312" w:eastAsia="楷体_GB2312" w:cs="楷体_GB2312"/>
                <w:kern w:val="0"/>
                <w:sz w:val="18"/>
                <w:szCs w:val="18"/>
                <w:lang w:val="en-US" w:eastAsia="zh-CN" w:bidi="ar"/>
              </w:rPr>
              <w:t>3.岗位方向参考“管培生计划”及“定岗生计划”，博士研究生薪资面议；</w:t>
            </w:r>
          </w:p>
        </w:tc>
      </w:tr>
      <w:tr w14:paraId="2C6EB2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80" w:hRule="atLeast"/>
        </w:trPr>
        <w:tc>
          <w:tcPr>
            <w:tcW w:w="721" w:type="pct"/>
            <w:tcBorders>
              <w:top w:val="single" w:color="000000" w:sz="4" w:space="0"/>
              <w:left w:val="single" w:color="000000" w:sz="4" w:space="0"/>
              <w:bottom w:val="single" w:color="000000" w:sz="4" w:space="0"/>
              <w:right w:val="single" w:color="000000" w:sz="4" w:space="0"/>
            </w:tcBorders>
            <w:shd w:val="clear" w:color="auto" w:fill="auto"/>
            <w:noWrap/>
            <w:tcMar>
              <w:top w:w="17" w:type="dxa"/>
              <w:left w:w="26" w:type="dxa"/>
              <w:bottom w:w="17" w:type="dxa"/>
              <w:right w:w="26" w:type="dxa"/>
            </w:tcMar>
            <w:vAlign w:val="center"/>
          </w:tcPr>
          <w:p w14:paraId="5AA45C7A">
            <w:pPr>
              <w:keepNext w:val="0"/>
              <w:keepLines w:val="0"/>
              <w:widowControl/>
              <w:suppressLineNumbers w:val="0"/>
              <w:jc w:val="center"/>
              <w:rPr>
                <w:rFonts w:ascii="楷体_GB2312" w:hAnsi="楷体_GB2312" w:eastAsia="楷体_GB2312" w:cs="楷体_GB2312"/>
                <w:sz w:val="18"/>
                <w:szCs w:val="18"/>
              </w:rPr>
            </w:pPr>
            <w:r>
              <w:rPr>
                <w:rFonts w:ascii="楷体_GB2312" w:hAnsi="楷体_GB2312" w:eastAsia="楷体_GB2312" w:cs="楷体_GB2312"/>
                <w:kern w:val="0"/>
                <w:sz w:val="18"/>
                <w:szCs w:val="18"/>
                <w:lang w:val="en-US" w:eastAsia="zh-CN" w:bidi="ar"/>
              </w:rPr>
              <w:t>管培生计划</w:t>
            </w:r>
          </w:p>
        </w:tc>
        <w:tc>
          <w:tcPr>
            <w:tcW w:w="667" w:type="pct"/>
            <w:tcBorders>
              <w:top w:val="single" w:color="000000" w:sz="4" w:space="0"/>
              <w:left w:val="single" w:color="000000" w:sz="4" w:space="0"/>
              <w:bottom w:val="single" w:color="000000" w:sz="4" w:space="0"/>
              <w:right w:val="single" w:color="000000" w:sz="4" w:space="0"/>
            </w:tcBorders>
            <w:shd w:val="clear" w:color="auto" w:fill="auto"/>
            <w:noWrap/>
            <w:tcMar>
              <w:top w:w="17" w:type="dxa"/>
              <w:left w:w="26" w:type="dxa"/>
              <w:bottom w:w="17" w:type="dxa"/>
              <w:right w:w="26" w:type="dxa"/>
            </w:tcMar>
            <w:vAlign w:val="center"/>
          </w:tcPr>
          <w:p w14:paraId="7F9CB589">
            <w:pPr>
              <w:keepNext w:val="0"/>
              <w:keepLines w:val="0"/>
              <w:widowControl/>
              <w:suppressLineNumbers w:val="0"/>
              <w:jc w:val="center"/>
              <w:rPr>
                <w:rFonts w:ascii="楷体_GB2312" w:hAnsi="楷体_GB2312" w:eastAsia="楷体_GB2312" w:cs="楷体_GB2312"/>
                <w:sz w:val="18"/>
                <w:szCs w:val="18"/>
              </w:rPr>
            </w:pPr>
            <w:r>
              <w:rPr>
                <w:rFonts w:ascii="楷体_GB2312" w:hAnsi="楷体_GB2312" w:eastAsia="楷体_GB2312" w:cs="楷体_GB2312"/>
                <w:kern w:val="0"/>
                <w:sz w:val="18"/>
                <w:szCs w:val="18"/>
                <w:lang w:val="en-US" w:eastAsia="zh-CN" w:bidi="ar"/>
              </w:rPr>
              <w:t>中心高管助理</w:t>
            </w:r>
          </w:p>
        </w:tc>
        <w:tc>
          <w:tcPr>
            <w:tcW w:w="848" w:type="pct"/>
            <w:tcBorders>
              <w:top w:val="single" w:color="000000" w:sz="4" w:space="0"/>
              <w:left w:val="single" w:color="000000" w:sz="4" w:space="0"/>
              <w:bottom w:val="single" w:color="000000" w:sz="4" w:space="0"/>
              <w:right w:val="single" w:color="000000" w:sz="4" w:space="0"/>
            </w:tcBorders>
            <w:shd w:val="clear" w:color="auto" w:fill="auto"/>
            <w:tcMar>
              <w:top w:w="17" w:type="dxa"/>
              <w:left w:w="26" w:type="dxa"/>
              <w:bottom w:w="17" w:type="dxa"/>
              <w:right w:w="26" w:type="dxa"/>
            </w:tcMar>
            <w:vAlign w:val="center"/>
          </w:tcPr>
          <w:p w14:paraId="4C648C7F">
            <w:pPr>
              <w:keepNext w:val="0"/>
              <w:keepLines w:val="0"/>
              <w:widowControl/>
              <w:suppressLineNumbers w:val="0"/>
              <w:jc w:val="center"/>
              <w:rPr>
                <w:rFonts w:ascii="楷体_GB2312" w:hAnsi="楷体_GB2312" w:eastAsia="楷体_GB2312" w:cs="楷体_GB2312"/>
                <w:sz w:val="18"/>
                <w:szCs w:val="18"/>
              </w:rPr>
            </w:pPr>
            <w:r>
              <w:rPr>
                <w:rFonts w:ascii="楷体_GB2312" w:hAnsi="楷体_GB2312" w:eastAsia="楷体_GB2312" w:cs="楷体_GB2312"/>
                <w:kern w:val="0"/>
                <w:sz w:val="18"/>
                <w:szCs w:val="18"/>
                <w:lang w:val="en-US" w:eastAsia="zh-CN" w:bidi="ar"/>
              </w:rPr>
              <w:t>硕士研究生</w:t>
            </w:r>
          </w:p>
        </w:tc>
        <w:tc>
          <w:tcPr>
            <w:tcW w:w="2762" w:type="pct"/>
            <w:tcBorders>
              <w:top w:val="single" w:color="000000" w:sz="4" w:space="0"/>
              <w:left w:val="single" w:color="000000" w:sz="4" w:space="0"/>
              <w:bottom w:val="single" w:color="000000" w:sz="4" w:space="0"/>
              <w:right w:val="single" w:color="000000" w:sz="4" w:space="0"/>
            </w:tcBorders>
            <w:shd w:val="clear" w:color="auto" w:fill="auto"/>
            <w:tcMar>
              <w:top w:w="17" w:type="dxa"/>
              <w:left w:w="26" w:type="dxa"/>
              <w:bottom w:w="17" w:type="dxa"/>
              <w:right w:w="26" w:type="dxa"/>
            </w:tcMar>
            <w:vAlign w:val="center"/>
          </w:tcPr>
          <w:p w14:paraId="66837E80">
            <w:pPr>
              <w:keepNext w:val="0"/>
              <w:keepLines w:val="0"/>
              <w:widowControl/>
              <w:suppressLineNumbers w:val="0"/>
              <w:jc w:val="left"/>
              <w:rPr>
                <w:rFonts w:ascii="楷体_GB2312" w:hAnsi="楷体_GB2312" w:eastAsia="楷体_GB2312" w:cs="楷体_GB2312"/>
                <w:sz w:val="18"/>
                <w:szCs w:val="18"/>
              </w:rPr>
            </w:pPr>
            <w:r>
              <w:rPr>
                <w:rFonts w:ascii="楷体_GB2312" w:hAnsi="楷体_GB2312" w:eastAsia="楷体_GB2312" w:cs="楷体_GB2312"/>
                <w:kern w:val="0"/>
                <w:sz w:val="18"/>
                <w:szCs w:val="18"/>
                <w:lang w:val="en-US" w:eastAsia="zh-CN" w:bidi="ar"/>
              </w:rPr>
              <w:t>1.经济学类、理学类、工学类、管理学、药学类以及大数据分析或新媒体相关类交叉学科</w:t>
            </w:r>
          </w:p>
        </w:tc>
      </w:tr>
      <w:tr w14:paraId="23155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80" w:hRule="atLeast"/>
        </w:trPr>
        <w:tc>
          <w:tcPr>
            <w:tcW w:w="721" w:type="pct"/>
            <w:vMerge w:val="restart"/>
            <w:tcBorders>
              <w:top w:val="single" w:color="000000" w:sz="4" w:space="0"/>
              <w:left w:val="single" w:color="000000" w:sz="4" w:space="0"/>
              <w:bottom w:val="single" w:color="000000" w:sz="4" w:space="0"/>
              <w:right w:val="single" w:color="000000" w:sz="4" w:space="0"/>
            </w:tcBorders>
            <w:shd w:val="clear" w:color="auto" w:fill="auto"/>
            <w:noWrap/>
            <w:tcMar>
              <w:top w:w="17" w:type="dxa"/>
              <w:left w:w="26" w:type="dxa"/>
              <w:bottom w:w="17" w:type="dxa"/>
              <w:right w:w="26" w:type="dxa"/>
            </w:tcMar>
            <w:vAlign w:val="center"/>
          </w:tcPr>
          <w:p w14:paraId="4A93FF1B">
            <w:pPr>
              <w:keepNext w:val="0"/>
              <w:keepLines w:val="0"/>
              <w:widowControl/>
              <w:suppressLineNumbers w:val="0"/>
              <w:jc w:val="center"/>
              <w:rPr>
                <w:rFonts w:ascii="楷体_GB2312" w:hAnsi="楷体_GB2312" w:eastAsia="楷体_GB2312" w:cs="楷体_GB2312"/>
                <w:sz w:val="18"/>
                <w:szCs w:val="18"/>
              </w:rPr>
            </w:pPr>
            <w:r>
              <w:rPr>
                <w:rFonts w:ascii="楷体_GB2312" w:hAnsi="楷体_GB2312" w:eastAsia="楷体_GB2312" w:cs="楷体_GB2312"/>
                <w:kern w:val="0"/>
                <w:sz w:val="18"/>
                <w:szCs w:val="18"/>
                <w:lang w:val="en-US" w:eastAsia="zh-CN" w:bidi="ar"/>
              </w:rPr>
              <w:t>定岗生计划</w:t>
            </w:r>
          </w:p>
        </w:tc>
        <w:tc>
          <w:tcPr>
            <w:tcW w:w="667" w:type="pct"/>
            <w:tcBorders>
              <w:top w:val="single" w:color="000000" w:sz="4" w:space="0"/>
              <w:left w:val="single" w:color="000000" w:sz="4" w:space="0"/>
              <w:bottom w:val="single" w:color="000000" w:sz="4" w:space="0"/>
              <w:right w:val="single" w:color="000000" w:sz="4" w:space="0"/>
            </w:tcBorders>
            <w:shd w:val="clear" w:color="auto" w:fill="auto"/>
            <w:noWrap/>
            <w:tcMar>
              <w:top w:w="17" w:type="dxa"/>
              <w:left w:w="26" w:type="dxa"/>
              <w:bottom w:w="17" w:type="dxa"/>
              <w:right w:w="26" w:type="dxa"/>
            </w:tcMar>
            <w:vAlign w:val="center"/>
          </w:tcPr>
          <w:p w14:paraId="4AD988E8">
            <w:pPr>
              <w:keepNext w:val="0"/>
              <w:keepLines w:val="0"/>
              <w:widowControl/>
              <w:suppressLineNumbers w:val="0"/>
              <w:jc w:val="center"/>
              <w:textAlignment w:val="center"/>
              <w:rPr>
                <w:rFonts w:ascii="楷体_GB2312" w:hAnsi="楷体_GB2312" w:eastAsia="楷体_GB2312" w:cs="楷体_GB2312"/>
                <w:color w:val="000000"/>
                <w:sz w:val="18"/>
                <w:szCs w:val="18"/>
              </w:rPr>
            </w:pPr>
            <w:r>
              <w:rPr>
                <w:rFonts w:ascii="楷体_GB2312" w:hAnsi="楷体_GB2312" w:eastAsia="楷体_GB2312" w:cs="楷体_GB2312"/>
                <w:color w:val="000000"/>
                <w:kern w:val="0"/>
                <w:sz w:val="18"/>
                <w:szCs w:val="18"/>
                <w:lang w:val="en-US" w:eastAsia="zh-CN" w:bidi="ar"/>
              </w:rPr>
              <w:t>新媒体内容岗</w:t>
            </w:r>
          </w:p>
        </w:tc>
        <w:tc>
          <w:tcPr>
            <w:tcW w:w="848" w:type="pct"/>
            <w:tcBorders>
              <w:top w:val="single" w:color="000000" w:sz="4" w:space="0"/>
              <w:left w:val="single" w:color="000000" w:sz="4" w:space="0"/>
              <w:bottom w:val="single" w:color="000000" w:sz="4" w:space="0"/>
              <w:right w:val="single" w:color="000000" w:sz="4" w:space="0"/>
            </w:tcBorders>
            <w:shd w:val="clear" w:color="auto" w:fill="auto"/>
            <w:tcMar>
              <w:top w:w="17" w:type="dxa"/>
              <w:left w:w="26" w:type="dxa"/>
              <w:bottom w:w="17" w:type="dxa"/>
              <w:right w:w="26" w:type="dxa"/>
            </w:tcMar>
            <w:vAlign w:val="center"/>
          </w:tcPr>
          <w:p w14:paraId="365B7E6C">
            <w:pPr>
              <w:keepNext w:val="0"/>
              <w:keepLines w:val="0"/>
              <w:widowControl/>
              <w:suppressLineNumbers w:val="0"/>
              <w:jc w:val="center"/>
              <w:rPr>
                <w:rFonts w:ascii="楷体_GB2312" w:hAnsi="楷体_GB2312" w:eastAsia="楷体_GB2312" w:cs="楷体_GB2312"/>
                <w:sz w:val="18"/>
                <w:szCs w:val="18"/>
              </w:rPr>
            </w:pPr>
            <w:r>
              <w:rPr>
                <w:rFonts w:ascii="楷体_GB2312" w:hAnsi="楷体_GB2312" w:eastAsia="楷体_GB2312" w:cs="楷体_GB2312"/>
                <w:kern w:val="0"/>
                <w:sz w:val="18"/>
                <w:szCs w:val="18"/>
                <w:lang w:val="en-US" w:eastAsia="zh-CN" w:bidi="ar"/>
              </w:rPr>
              <w:t>本科及以上</w:t>
            </w:r>
          </w:p>
        </w:tc>
        <w:tc>
          <w:tcPr>
            <w:tcW w:w="2762" w:type="pct"/>
            <w:tcBorders>
              <w:top w:val="single" w:color="000000" w:sz="4" w:space="0"/>
              <w:left w:val="single" w:color="000000" w:sz="4" w:space="0"/>
              <w:bottom w:val="single" w:color="000000" w:sz="4" w:space="0"/>
              <w:right w:val="single" w:color="000000" w:sz="4" w:space="0"/>
            </w:tcBorders>
            <w:shd w:val="clear" w:color="auto" w:fill="auto"/>
            <w:tcMar>
              <w:top w:w="17" w:type="dxa"/>
              <w:left w:w="26" w:type="dxa"/>
              <w:bottom w:w="17" w:type="dxa"/>
              <w:right w:w="26" w:type="dxa"/>
            </w:tcMar>
            <w:vAlign w:val="center"/>
          </w:tcPr>
          <w:p w14:paraId="190FC3DD">
            <w:pPr>
              <w:keepNext w:val="0"/>
              <w:keepLines w:val="0"/>
              <w:widowControl/>
              <w:suppressLineNumbers w:val="0"/>
              <w:jc w:val="left"/>
              <w:rPr>
                <w:rFonts w:ascii="楷体_GB2312" w:hAnsi="楷体_GB2312" w:eastAsia="楷体_GB2312" w:cs="楷体_GB2312"/>
                <w:sz w:val="18"/>
                <w:szCs w:val="18"/>
              </w:rPr>
            </w:pPr>
            <w:r>
              <w:rPr>
                <w:rFonts w:ascii="楷体_GB2312" w:hAnsi="楷体_GB2312" w:eastAsia="楷体_GB2312" w:cs="楷体_GB2312"/>
                <w:kern w:val="0"/>
                <w:sz w:val="18"/>
                <w:szCs w:val="18"/>
                <w:lang w:val="en-US" w:eastAsia="zh-CN" w:bidi="ar"/>
              </w:rPr>
              <w:t>1.网络与新媒体、数字媒体艺术、广播电视编导、戏剧影视导演与制作、戏剧影视文学、表演类等相关专业优先；</w:t>
            </w:r>
            <w:r>
              <w:rPr>
                <w:rFonts w:ascii="楷体_GB2312" w:hAnsi="楷体_GB2312" w:eastAsia="楷体_GB2312" w:cs="楷体_GB2312"/>
                <w:kern w:val="0"/>
                <w:sz w:val="18"/>
                <w:szCs w:val="18"/>
                <w:lang w:val="en-US" w:eastAsia="zh-CN" w:bidi="ar"/>
              </w:rPr>
              <w:br w:type="textWrapping"/>
            </w:r>
            <w:r>
              <w:rPr>
                <w:rFonts w:ascii="楷体_GB2312" w:hAnsi="楷体_GB2312" w:eastAsia="楷体_GB2312" w:cs="楷体_GB2312"/>
                <w:kern w:val="0"/>
                <w:sz w:val="18"/>
                <w:szCs w:val="18"/>
                <w:lang w:val="en-US" w:eastAsia="zh-CN" w:bidi="ar"/>
              </w:rPr>
              <w:t>2.具备新媒体等相关垂直实习经验可放宽专业限制；</w:t>
            </w:r>
          </w:p>
        </w:tc>
      </w:tr>
      <w:tr w14:paraId="176668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80" w:hRule="atLeast"/>
        </w:trPr>
        <w:tc>
          <w:tcPr>
            <w:tcW w:w="721" w:type="pct"/>
            <w:vMerge w:val="continue"/>
            <w:tcBorders>
              <w:top w:val="single" w:color="000000" w:sz="4" w:space="0"/>
              <w:left w:val="single" w:color="000000" w:sz="4" w:space="0"/>
              <w:bottom w:val="single" w:color="000000" w:sz="4" w:space="0"/>
              <w:right w:val="single" w:color="000000" w:sz="4" w:space="0"/>
            </w:tcBorders>
            <w:shd w:val="clear" w:color="auto" w:fill="auto"/>
            <w:noWrap/>
            <w:tcMar>
              <w:top w:w="17" w:type="dxa"/>
              <w:left w:w="26" w:type="dxa"/>
              <w:bottom w:w="17" w:type="dxa"/>
              <w:right w:w="26" w:type="dxa"/>
            </w:tcMar>
            <w:vAlign w:val="center"/>
          </w:tcPr>
          <w:p w14:paraId="3A4674E8">
            <w:pPr>
              <w:jc w:val="center"/>
              <w:rPr>
                <w:rFonts w:hint="eastAsia" w:ascii="楷体_GB2312" w:hAnsi="楷体_GB2312" w:eastAsia="楷体_GB2312" w:cs="楷体_GB2312"/>
                <w:sz w:val="18"/>
                <w:szCs w:val="18"/>
              </w:rPr>
            </w:pPr>
          </w:p>
        </w:tc>
        <w:tc>
          <w:tcPr>
            <w:tcW w:w="667" w:type="pct"/>
            <w:tcBorders>
              <w:top w:val="single" w:color="000000" w:sz="4" w:space="0"/>
              <w:left w:val="single" w:color="000000" w:sz="4" w:space="0"/>
              <w:bottom w:val="single" w:color="000000" w:sz="4" w:space="0"/>
              <w:right w:val="single" w:color="000000" w:sz="4" w:space="0"/>
            </w:tcBorders>
            <w:shd w:val="clear" w:color="auto" w:fill="auto"/>
            <w:noWrap/>
            <w:tcMar>
              <w:top w:w="17" w:type="dxa"/>
              <w:left w:w="26" w:type="dxa"/>
              <w:bottom w:w="17" w:type="dxa"/>
              <w:right w:w="26" w:type="dxa"/>
            </w:tcMar>
            <w:vAlign w:val="center"/>
          </w:tcPr>
          <w:p w14:paraId="34E30383">
            <w:pPr>
              <w:keepNext w:val="0"/>
              <w:keepLines w:val="0"/>
              <w:widowControl/>
              <w:suppressLineNumbers w:val="0"/>
              <w:jc w:val="center"/>
              <w:textAlignment w:val="center"/>
              <w:rPr>
                <w:rFonts w:ascii="楷体_GB2312" w:hAnsi="楷体_GB2312" w:eastAsia="楷体_GB2312" w:cs="楷体_GB2312"/>
                <w:color w:val="000000"/>
                <w:sz w:val="18"/>
                <w:szCs w:val="18"/>
              </w:rPr>
            </w:pPr>
            <w:r>
              <w:rPr>
                <w:rFonts w:ascii="楷体_GB2312" w:hAnsi="楷体_GB2312" w:eastAsia="楷体_GB2312" w:cs="楷体_GB2312"/>
                <w:color w:val="000000"/>
                <w:kern w:val="0"/>
                <w:sz w:val="18"/>
                <w:szCs w:val="18"/>
                <w:lang w:val="en-US" w:eastAsia="zh-CN" w:bidi="ar"/>
              </w:rPr>
              <w:t>电商运营岗</w:t>
            </w:r>
          </w:p>
        </w:tc>
        <w:tc>
          <w:tcPr>
            <w:tcW w:w="848" w:type="pct"/>
            <w:tcBorders>
              <w:top w:val="single" w:color="000000" w:sz="4" w:space="0"/>
              <w:left w:val="single" w:color="000000" w:sz="4" w:space="0"/>
              <w:bottom w:val="single" w:color="000000" w:sz="4" w:space="0"/>
              <w:right w:val="single" w:color="000000" w:sz="4" w:space="0"/>
            </w:tcBorders>
            <w:shd w:val="clear" w:color="auto" w:fill="auto"/>
            <w:tcMar>
              <w:top w:w="17" w:type="dxa"/>
              <w:left w:w="26" w:type="dxa"/>
              <w:bottom w:w="17" w:type="dxa"/>
              <w:right w:w="26" w:type="dxa"/>
            </w:tcMar>
            <w:vAlign w:val="center"/>
          </w:tcPr>
          <w:p w14:paraId="5C7CB384">
            <w:pPr>
              <w:keepNext w:val="0"/>
              <w:keepLines w:val="0"/>
              <w:widowControl/>
              <w:suppressLineNumbers w:val="0"/>
              <w:jc w:val="center"/>
              <w:rPr>
                <w:rFonts w:ascii="楷体_GB2312" w:hAnsi="楷体_GB2312" w:eastAsia="楷体_GB2312" w:cs="楷体_GB2312"/>
                <w:sz w:val="18"/>
                <w:szCs w:val="18"/>
              </w:rPr>
            </w:pPr>
            <w:r>
              <w:rPr>
                <w:rFonts w:ascii="楷体_GB2312" w:hAnsi="楷体_GB2312" w:eastAsia="楷体_GB2312" w:cs="楷体_GB2312"/>
                <w:kern w:val="0"/>
                <w:sz w:val="18"/>
                <w:szCs w:val="18"/>
                <w:lang w:val="en-US" w:eastAsia="zh-CN" w:bidi="ar"/>
              </w:rPr>
              <w:t>本科及以上</w:t>
            </w:r>
          </w:p>
        </w:tc>
        <w:tc>
          <w:tcPr>
            <w:tcW w:w="2762" w:type="pct"/>
            <w:tcBorders>
              <w:top w:val="single" w:color="000000" w:sz="4" w:space="0"/>
              <w:left w:val="single" w:color="000000" w:sz="4" w:space="0"/>
              <w:bottom w:val="single" w:color="000000" w:sz="4" w:space="0"/>
              <w:right w:val="single" w:color="000000" w:sz="4" w:space="0"/>
            </w:tcBorders>
            <w:shd w:val="clear" w:color="auto" w:fill="auto"/>
            <w:tcMar>
              <w:top w:w="17" w:type="dxa"/>
              <w:left w:w="26" w:type="dxa"/>
              <w:bottom w:w="17" w:type="dxa"/>
              <w:right w:w="26" w:type="dxa"/>
            </w:tcMar>
            <w:vAlign w:val="center"/>
          </w:tcPr>
          <w:p w14:paraId="6F96ACA5">
            <w:pPr>
              <w:keepNext w:val="0"/>
              <w:keepLines w:val="0"/>
              <w:widowControl/>
              <w:suppressLineNumbers w:val="0"/>
              <w:jc w:val="left"/>
              <w:rPr>
                <w:rFonts w:ascii="楷体_GB2312" w:hAnsi="楷体_GB2312" w:eastAsia="楷体_GB2312" w:cs="楷体_GB2312"/>
                <w:sz w:val="18"/>
                <w:szCs w:val="18"/>
              </w:rPr>
            </w:pPr>
            <w:r>
              <w:rPr>
                <w:rFonts w:ascii="楷体_GB2312" w:hAnsi="楷体_GB2312" w:eastAsia="楷体_GB2312" w:cs="楷体_GB2312"/>
                <w:kern w:val="0"/>
                <w:sz w:val="18"/>
                <w:szCs w:val="18"/>
                <w:lang w:val="en-US" w:eastAsia="zh-CN" w:bidi="ar"/>
              </w:rPr>
              <w:t>1.电子商务、市场营销、统计学、数据科学与大数据技术、工商管理、视觉传达设计等相关专业优先；</w:t>
            </w:r>
            <w:r>
              <w:rPr>
                <w:rFonts w:ascii="楷体_GB2312" w:hAnsi="楷体_GB2312" w:eastAsia="楷体_GB2312" w:cs="楷体_GB2312"/>
                <w:kern w:val="0"/>
                <w:sz w:val="18"/>
                <w:szCs w:val="18"/>
                <w:lang w:val="en-US" w:eastAsia="zh-CN" w:bidi="ar"/>
              </w:rPr>
              <w:br w:type="textWrapping"/>
            </w:r>
            <w:r>
              <w:rPr>
                <w:rFonts w:ascii="楷体_GB2312" w:hAnsi="楷体_GB2312" w:eastAsia="楷体_GB2312" w:cs="楷体_GB2312"/>
                <w:kern w:val="0"/>
                <w:sz w:val="18"/>
                <w:szCs w:val="18"/>
                <w:lang w:val="en-US" w:eastAsia="zh-CN" w:bidi="ar"/>
              </w:rPr>
              <w:t>2.具备电商运营等相关垂直实习经验可放宽专业限制；</w:t>
            </w:r>
          </w:p>
        </w:tc>
      </w:tr>
      <w:tr w14:paraId="427CD9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80" w:hRule="atLeast"/>
        </w:trPr>
        <w:tc>
          <w:tcPr>
            <w:tcW w:w="721" w:type="pct"/>
            <w:vMerge w:val="continue"/>
            <w:tcBorders>
              <w:top w:val="single" w:color="000000" w:sz="4" w:space="0"/>
              <w:left w:val="single" w:color="000000" w:sz="4" w:space="0"/>
              <w:bottom w:val="single" w:color="000000" w:sz="4" w:space="0"/>
              <w:right w:val="single" w:color="000000" w:sz="4" w:space="0"/>
            </w:tcBorders>
            <w:shd w:val="clear" w:color="auto" w:fill="auto"/>
            <w:noWrap/>
            <w:tcMar>
              <w:top w:w="17" w:type="dxa"/>
              <w:left w:w="26" w:type="dxa"/>
              <w:bottom w:w="17" w:type="dxa"/>
              <w:right w:w="26" w:type="dxa"/>
            </w:tcMar>
            <w:vAlign w:val="center"/>
          </w:tcPr>
          <w:p w14:paraId="28C1A95B">
            <w:pPr>
              <w:jc w:val="center"/>
              <w:rPr>
                <w:rFonts w:hint="eastAsia" w:ascii="楷体_GB2312" w:hAnsi="楷体_GB2312" w:eastAsia="楷体_GB2312" w:cs="楷体_GB2312"/>
                <w:sz w:val="18"/>
                <w:szCs w:val="18"/>
              </w:rPr>
            </w:pPr>
          </w:p>
        </w:tc>
        <w:tc>
          <w:tcPr>
            <w:tcW w:w="667" w:type="pct"/>
            <w:tcBorders>
              <w:top w:val="single" w:color="000000" w:sz="4" w:space="0"/>
              <w:left w:val="single" w:color="000000" w:sz="4" w:space="0"/>
              <w:bottom w:val="single" w:color="000000" w:sz="4" w:space="0"/>
              <w:right w:val="single" w:color="000000" w:sz="4" w:space="0"/>
            </w:tcBorders>
            <w:shd w:val="clear" w:color="auto" w:fill="auto"/>
            <w:noWrap/>
            <w:tcMar>
              <w:top w:w="17" w:type="dxa"/>
              <w:left w:w="26" w:type="dxa"/>
              <w:bottom w:w="17" w:type="dxa"/>
              <w:right w:w="26" w:type="dxa"/>
            </w:tcMar>
            <w:vAlign w:val="center"/>
          </w:tcPr>
          <w:p w14:paraId="50BBF023">
            <w:pPr>
              <w:keepNext w:val="0"/>
              <w:keepLines w:val="0"/>
              <w:widowControl/>
              <w:suppressLineNumbers w:val="0"/>
              <w:jc w:val="center"/>
              <w:textAlignment w:val="center"/>
              <w:rPr>
                <w:rFonts w:ascii="楷体_GB2312" w:hAnsi="楷体_GB2312" w:eastAsia="楷体_GB2312" w:cs="楷体_GB2312"/>
                <w:color w:val="000000"/>
                <w:sz w:val="18"/>
                <w:szCs w:val="18"/>
              </w:rPr>
            </w:pPr>
            <w:r>
              <w:rPr>
                <w:rFonts w:ascii="楷体_GB2312" w:hAnsi="楷体_GB2312" w:eastAsia="楷体_GB2312" w:cs="楷体_GB2312"/>
                <w:color w:val="000000"/>
                <w:kern w:val="0"/>
                <w:sz w:val="18"/>
                <w:szCs w:val="18"/>
                <w:lang w:val="en-US" w:eastAsia="zh-CN" w:bidi="ar"/>
              </w:rPr>
              <w:t>产品研发岗</w:t>
            </w:r>
          </w:p>
        </w:tc>
        <w:tc>
          <w:tcPr>
            <w:tcW w:w="848" w:type="pct"/>
            <w:tcBorders>
              <w:top w:val="single" w:color="000000" w:sz="4" w:space="0"/>
              <w:left w:val="single" w:color="000000" w:sz="4" w:space="0"/>
              <w:bottom w:val="single" w:color="000000" w:sz="4" w:space="0"/>
              <w:right w:val="single" w:color="000000" w:sz="4" w:space="0"/>
            </w:tcBorders>
            <w:shd w:val="clear" w:color="auto" w:fill="auto"/>
            <w:tcMar>
              <w:top w:w="17" w:type="dxa"/>
              <w:left w:w="26" w:type="dxa"/>
              <w:bottom w:w="17" w:type="dxa"/>
              <w:right w:w="26" w:type="dxa"/>
            </w:tcMar>
            <w:vAlign w:val="center"/>
          </w:tcPr>
          <w:p w14:paraId="4210A27C">
            <w:pPr>
              <w:keepNext w:val="0"/>
              <w:keepLines w:val="0"/>
              <w:widowControl/>
              <w:suppressLineNumbers w:val="0"/>
              <w:jc w:val="center"/>
              <w:rPr>
                <w:rFonts w:ascii="楷体_GB2312" w:hAnsi="楷体_GB2312" w:eastAsia="楷体_GB2312" w:cs="楷体_GB2312"/>
                <w:sz w:val="18"/>
                <w:szCs w:val="18"/>
              </w:rPr>
            </w:pPr>
            <w:r>
              <w:rPr>
                <w:rFonts w:ascii="楷体_GB2312" w:hAnsi="楷体_GB2312" w:eastAsia="楷体_GB2312" w:cs="楷体_GB2312"/>
                <w:kern w:val="0"/>
                <w:sz w:val="18"/>
                <w:szCs w:val="18"/>
                <w:lang w:val="en-US" w:eastAsia="zh-CN" w:bidi="ar"/>
              </w:rPr>
              <w:t>硕士研究生及以上</w:t>
            </w:r>
          </w:p>
        </w:tc>
        <w:tc>
          <w:tcPr>
            <w:tcW w:w="2762" w:type="pct"/>
            <w:tcBorders>
              <w:top w:val="single" w:color="000000" w:sz="4" w:space="0"/>
              <w:left w:val="single" w:color="000000" w:sz="4" w:space="0"/>
              <w:bottom w:val="single" w:color="000000" w:sz="4" w:space="0"/>
              <w:right w:val="single" w:color="000000" w:sz="4" w:space="0"/>
            </w:tcBorders>
            <w:shd w:val="clear" w:color="auto" w:fill="auto"/>
            <w:tcMar>
              <w:top w:w="17" w:type="dxa"/>
              <w:left w:w="26" w:type="dxa"/>
              <w:bottom w:w="17" w:type="dxa"/>
              <w:right w:w="26" w:type="dxa"/>
            </w:tcMar>
            <w:vAlign w:val="center"/>
          </w:tcPr>
          <w:p w14:paraId="3FB9BD2A">
            <w:pPr>
              <w:keepNext w:val="0"/>
              <w:keepLines w:val="0"/>
              <w:widowControl/>
              <w:suppressLineNumbers w:val="0"/>
              <w:jc w:val="left"/>
              <w:rPr>
                <w:rFonts w:ascii="楷体_GB2312" w:hAnsi="楷体_GB2312" w:eastAsia="楷体_GB2312" w:cs="楷体_GB2312"/>
                <w:sz w:val="18"/>
                <w:szCs w:val="18"/>
              </w:rPr>
            </w:pPr>
            <w:r>
              <w:rPr>
                <w:rFonts w:ascii="楷体_GB2312" w:hAnsi="楷体_GB2312" w:eastAsia="楷体_GB2312" w:cs="楷体_GB2312"/>
                <w:kern w:val="0"/>
                <w:sz w:val="18"/>
                <w:szCs w:val="18"/>
                <w:lang w:val="en-US" w:eastAsia="zh-CN" w:bidi="ar"/>
              </w:rPr>
              <w:t>1.化妆品科学与技术、应用化学、精细化学、化学工程与工艺、精细化工、食品科学与工程等相关专业优先；</w:t>
            </w:r>
            <w:r>
              <w:rPr>
                <w:rFonts w:ascii="楷体_GB2312" w:hAnsi="楷体_GB2312" w:eastAsia="楷体_GB2312" w:cs="楷体_GB2312"/>
                <w:kern w:val="0"/>
                <w:sz w:val="18"/>
                <w:szCs w:val="18"/>
                <w:lang w:val="en-US" w:eastAsia="zh-CN" w:bidi="ar"/>
              </w:rPr>
              <w:br w:type="textWrapping"/>
            </w:r>
            <w:r>
              <w:rPr>
                <w:rFonts w:ascii="楷体_GB2312" w:hAnsi="楷体_GB2312" w:eastAsia="楷体_GB2312" w:cs="楷体_GB2312"/>
                <w:kern w:val="0"/>
                <w:sz w:val="18"/>
                <w:szCs w:val="18"/>
                <w:lang w:val="en-US" w:eastAsia="zh-CN" w:bidi="ar"/>
              </w:rPr>
              <w:t>2.课题研究涉及日化美妆相关行业优先；</w:t>
            </w:r>
          </w:p>
        </w:tc>
      </w:tr>
      <w:tr w14:paraId="6B9A9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80" w:hRule="atLeast"/>
        </w:trPr>
        <w:tc>
          <w:tcPr>
            <w:tcW w:w="721" w:type="pct"/>
            <w:vMerge w:val="continue"/>
            <w:tcBorders>
              <w:top w:val="single" w:color="000000" w:sz="4" w:space="0"/>
              <w:left w:val="single" w:color="000000" w:sz="4" w:space="0"/>
              <w:bottom w:val="single" w:color="000000" w:sz="4" w:space="0"/>
              <w:right w:val="single" w:color="000000" w:sz="4" w:space="0"/>
            </w:tcBorders>
            <w:shd w:val="clear" w:color="auto" w:fill="auto"/>
            <w:noWrap/>
            <w:tcMar>
              <w:top w:w="17" w:type="dxa"/>
              <w:left w:w="26" w:type="dxa"/>
              <w:bottom w:w="17" w:type="dxa"/>
              <w:right w:w="26" w:type="dxa"/>
            </w:tcMar>
            <w:vAlign w:val="center"/>
          </w:tcPr>
          <w:p w14:paraId="18765242">
            <w:pPr>
              <w:jc w:val="center"/>
              <w:rPr>
                <w:rFonts w:hint="eastAsia" w:ascii="楷体_GB2312" w:hAnsi="楷体_GB2312" w:eastAsia="楷体_GB2312" w:cs="楷体_GB2312"/>
                <w:sz w:val="18"/>
                <w:szCs w:val="18"/>
              </w:rPr>
            </w:pPr>
          </w:p>
        </w:tc>
        <w:tc>
          <w:tcPr>
            <w:tcW w:w="667" w:type="pct"/>
            <w:tcBorders>
              <w:top w:val="single" w:color="000000" w:sz="4" w:space="0"/>
              <w:left w:val="single" w:color="000000" w:sz="4" w:space="0"/>
              <w:bottom w:val="single" w:color="000000" w:sz="4" w:space="0"/>
              <w:right w:val="single" w:color="000000" w:sz="4" w:space="0"/>
            </w:tcBorders>
            <w:shd w:val="clear" w:color="auto" w:fill="auto"/>
            <w:noWrap/>
            <w:tcMar>
              <w:top w:w="17" w:type="dxa"/>
              <w:left w:w="26" w:type="dxa"/>
              <w:bottom w:w="17" w:type="dxa"/>
              <w:right w:w="26" w:type="dxa"/>
            </w:tcMar>
            <w:vAlign w:val="center"/>
          </w:tcPr>
          <w:p w14:paraId="71BC4927">
            <w:pPr>
              <w:keepNext w:val="0"/>
              <w:keepLines w:val="0"/>
              <w:widowControl/>
              <w:suppressLineNumbers w:val="0"/>
              <w:jc w:val="center"/>
              <w:textAlignment w:val="center"/>
              <w:rPr>
                <w:rFonts w:ascii="楷体_GB2312" w:hAnsi="楷体_GB2312" w:eastAsia="楷体_GB2312" w:cs="楷体_GB2312"/>
                <w:color w:val="000000"/>
                <w:sz w:val="18"/>
                <w:szCs w:val="18"/>
              </w:rPr>
            </w:pPr>
            <w:r>
              <w:rPr>
                <w:rFonts w:ascii="楷体_GB2312" w:hAnsi="楷体_GB2312" w:eastAsia="楷体_GB2312" w:cs="楷体_GB2312"/>
                <w:color w:val="000000"/>
                <w:kern w:val="0"/>
                <w:sz w:val="18"/>
                <w:szCs w:val="18"/>
                <w:lang w:val="en-US" w:eastAsia="zh-CN" w:bidi="ar"/>
              </w:rPr>
              <w:t>视觉设计岗</w:t>
            </w:r>
          </w:p>
        </w:tc>
        <w:tc>
          <w:tcPr>
            <w:tcW w:w="848" w:type="pct"/>
            <w:tcBorders>
              <w:top w:val="single" w:color="000000" w:sz="4" w:space="0"/>
              <w:left w:val="single" w:color="000000" w:sz="4" w:space="0"/>
              <w:bottom w:val="single" w:color="000000" w:sz="4" w:space="0"/>
              <w:right w:val="single" w:color="000000" w:sz="4" w:space="0"/>
            </w:tcBorders>
            <w:shd w:val="clear" w:color="auto" w:fill="auto"/>
            <w:tcMar>
              <w:top w:w="17" w:type="dxa"/>
              <w:left w:w="26" w:type="dxa"/>
              <w:bottom w:w="17" w:type="dxa"/>
              <w:right w:w="26" w:type="dxa"/>
            </w:tcMar>
            <w:vAlign w:val="center"/>
          </w:tcPr>
          <w:p w14:paraId="592CFD70">
            <w:pPr>
              <w:keepNext w:val="0"/>
              <w:keepLines w:val="0"/>
              <w:widowControl/>
              <w:suppressLineNumbers w:val="0"/>
              <w:jc w:val="center"/>
              <w:rPr>
                <w:rFonts w:ascii="楷体_GB2312" w:hAnsi="楷体_GB2312" w:eastAsia="楷体_GB2312" w:cs="楷体_GB2312"/>
                <w:sz w:val="18"/>
                <w:szCs w:val="18"/>
              </w:rPr>
            </w:pPr>
            <w:r>
              <w:rPr>
                <w:rFonts w:ascii="楷体_GB2312" w:hAnsi="楷体_GB2312" w:eastAsia="楷体_GB2312" w:cs="楷体_GB2312"/>
                <w:kern w:val="0"/>
                <w:sz w:val="18"/>
                <w:szCs w:val="18"/>
                <w:lang w:val="en-US" w:eastAsia="zh-CN" w:bidi="ar"/>
              </w:rPr>
              <w:t>本科及以上</w:t>
            </w:r>
          </w:p>
        </w:tc>
        <w:tc>
          <w:tcPr>
            <w:tcW w:w="2762" w:type="pct"/>
            <w:tcBorders>
              <w:top w:val="single" w:color="000000" w:sz="4" w:space="0"/>
              <w:left w:val="single" w:color="000000" w:sz="4" w:space="0"/>
              <w:bottom w:val="single" w:color="000000" w:sz="4" w:space="0"/>
              <w:right w:val="single" w:color="000000" w:sz="4" w:space="0"/>
            </w:tcBorders>
            <w:shd w:val="clear" w:color="auto" w:fill="auto"/>
            <w:tcMar>
              <w:top w:w="17" w:type="dxa"/>
              <w:left w:w="26" w:type="dxa"/>
              <w:bottom w:w="17" w:type="dxa"/>
              <w:right w:w="26" w:type="dxa"/>
            </w:tcMar>
            <w:vAlign w:val="center"/>
          </w:tcPr>
          <w:p w14:paraId="62DCD565">
            <w:pPr>
              <w:keepNext w:val="0"/>
              <w:keepLines w:val="0"/>
              <w:widowControl/>
              <w:suppressLineNumbers w:val="0"/>
              <w:jc w:val="left"/>
              <w:rPr>
                <w:rFonts w:ascii="楷体_GB2312" w:hAnsi="楷体_GB2312" w:eastAsia="楷体_GB2312" w:cs="楷体_GB2312"/>
                <w:sz w:val="18"/>
                <w:szCs w:val="18"/>
              </w:rPr>
            </w:pPr>
            <w:r>
              <w:rPr>
                <w:rFonts w:ascii="楷体_GB2312" w:hAnsi="楷体_GB2312" w:eastAsia="楷体_GB2312" w:cs="楷体_GB2312"/>
                <w:kern w:val="0"/>
                <w:sz w:val="18"/>
                <w:szCs w:val="18"/>
                <w:lang w:val="en-US" w:eastAsia="zh-CN" w:bidi="ar"/>
              </w:rPr>
              <w:t>1.视觉传达设计、美术学等艺术大类等相关专业优先；</w:t>
            </w:r>
          </w:p>
        </w:tc>
      </w:tr>
      <w:tr w14:paraId="6CF5F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80" w:hRule="atLeast"/>
        </w:trPr>
        <w:tc>
          <w:tcPr>
            <w:tcW w:w="721" w:type="pct"/>
            <w:vMerge w:val="continue"/>
            <w:tcBorders>
              <w:top w:val="single" w:color="000000" w:sz="4" w:space="0"/>
              <w:left w:val="single" w:color="000000" w:sz="4" w:space="0"/>
              <w:bottom w:val="single" w:color="000000" w:sz="4" w:space="0"/>
              <w:right w:val="single" w:color="000000" w:sz="4" w:space="0"/>
            </w:tcBorders>
            <w:shd w:val="clear" w:color="auto" w:fill="auto"/>
            <w:noWrap/>
            <w:tcMar>
              <w:top w:w="17" w:type="dxa"/>
              <w:left w:w="26" w:type="dxa"/>
              <w:bottom w:w="17" w:type="dxa"/>
              <w:right w:w="26" w:type="dxa"/>
            </w:tcMar>
            <w:vAlign w:val="center"/>
          </w:tcPr>
          <w:p w14:paraId="5D4278BD">
            <w:pPr>
              <w:jc w:val="center"/>
              <w:rPr>
                <w:rFonts w:hint="eastAsia" w:ascii="楷体_GB2312" w:hAnsi="楷体_GB2312" w:eastAsia="楷体_GB2312" w:cs="楷体_GB2312"/>
                <w:sz w:val="18"/>
                <w:szCs w:val="18"/>
              </w:rPr>
            </w:pPr>
          </w:p>
        </w:tc>
        <w:tc>
          <w:tcPr>
            <w:tcW w:w="667" w:type="pct"/>
            <w:tcBorders>
              <w:top w:val="single" w:color="000000" w:sz="4" w:space="0"/>
              <w:left w:val="single" w:color="000000" w:sz="4" w:space="0"/>
              <w:bottom w:val="single" w:color="000000" w:sz="4" w:space="0"/>
              <w:right w:val="single" w:color="000000" w:sz="4" w:space="0"/>
            </w:tcBorders>
            <w:shd w:val="clear" w:color="auto" w:fill="auto"/>
            <w:noWrap/>
            <w:tcMar>
              <w:top w:w="17" w:type="dxa"/>
              <w:left w:w="26" w:type="dxa"/>
              <w:bottom w:w="17" w:type="dxa"/>
              <w:right w:w="26" w:type="dxa"/>
            </w:tcMar>
            <w:vAlign w:val="center"/>
          </w:tcPr>
          <w:p w14:paraId="2A3950D3">
            <w:pPr>
              <w:keepNext w:val="0"/>
              <w:keepLines w:val="0"/>
              <w:widowControl/>
              <w:suppressLineNumbers w:val="0"/>
              <w:jc w:val="center"/>
              <w:textAlignment w:val="center"/>
              <w:rPr>
                <w:rFonts w:ascii="楷体_GB2312" w:hAnsi="楷体_GB2312" w:eastAsia="楷体_GB2312" w:cs="楷体_GB2312"/>
                <w:color w:val="000000"/>
                <w:sz w:val="18"/>
                <w:szCs w:val="18"/>
              </w:rPr>
            </w:pPr>
            <w:r>
              <w:rPr>
                <w:rFonts w:ascii="楷体_GB2312" w:hAnsi="楷体_GB2312" w:eastAsia="楷体_GB2312" w:cs="楷体_GB2312"/>
                <w:color w:val="000000"/>
                <w:kern w:val="0"/>
                <w:sz w:val="18"/>
                <w:szCs w:val="18"/>
                <w:lang w:val="en-US" w:eastAsia="zh-CN" w:bidi="ar"/>
              </w:rPr>
              <w:t>市场营销岗</w:t>
            </w:r>
          </w:p>
        </w:tc>
        <w:tc>
          <w:tcPr>
            <w:tcW w:w="848" w:type="pct"/>
            <w:tcBorders>
              <w:top w:val="single" w:color="000000" w:sz="4" w:space="0"/>
              <w:left w:val="single" w:color="000000" w:sz="4" w:space="0"/>
              <w:bottom w:val="single" w:color="000000" w:sz="4" w:space="0"/>
              <w:right w:val="single" w:color="000000" w:sz="4" w:space="0"/>
            </w:tcBorders>
            <w:shd w:val="clear" w:color="auto" w:fill="auto"/>
            <w:tcMar>
              <w:top w:w="17" w:type="dxa"/>
              <w:left w:w="26" w:type="dxa"/>
              <w:bottom w:w="17" w:type="dxa"/>
              <w:right w:w="26" w:type="dxa"/>
            </w:tcMar>
            <w:vAlign w:val="center"/>
          </w:tcPr>
          <w:p w14:paraId="5CDF6EF8">
            <w:pPr>
              <w:keepNext w:val="0"/>
              <w:keepLines w:val="0"/>
              <w:widowControl/>
              <w:suppressLineNumbers w:val="0"/>
              <w:jc w:val="center"/>
              <w:rPr>
                <w:rFonts w:ascii="楷体_GB2312" w:hAnsi="楷体_GB2312" w:eastAsia="楷体_GB2312" w:cs="楷体_GB2312"/>
                <w:sz w:val="18"/>
                <w:szCs w:val="18"/>
              </w:rPr>
            </w:pPr>
            <w:r>
              <w:rPr>
                <w:rFonts w:ascii="楷体_GB2312" w:hAnsi="楷体_GB2312" w:eastAsia="楷体_GB2312" w:cs="楷体_GB2312"/>
                <w:kern w:val="0"/>
                <w:sz w:val="18"/>
                <w:szCs w:val="18"/>
                <w:lang w:val="en-US" w:eastAsia="zh-CN" w:bidi="ar"/>
              </w:rPr>
              <w:t>本科及以上</w:t>
            </w:r>
          </w:p>
        </w:tc>
        <w:tc>
          <w:tcPr>
            <w:tcW w:w="2762" w:type="pct"/>
            <w:tcBorders>
              <w:top w:val="single" w:color="000000" w:sz="4" w:space="0"/>
              <w:left w:val="single" w:color="000000" w:sz="4" w:space="0"/>
              <w:bottom w:val="single" w:color="000000" w:sz="4" w:space="0"/>
              <w:right w:val="single" w:color="000000" w:sz="4" w:space="0"/>
            </w:tcBorders>
            <w:shd w:val="clear" w:color="auto" w:fill="auto"/>
            <w:tcMar>
              <w:top w:w="17" w:type="dxa"/>
              <w:left w:w="26" w:type="dxa"/>
              <w:bottom w:w="17" w:type="dxa"/>
              <w:right w:w="26" w:type="dxa"/>
            </w:tcMar>
            <w:vAlign w:val="center"/>
          </w:tcPr>
          <w:p w14:paraId="0A786A0C">
            <w:pPr>
              <w:keepNext w:val="0"/>
              <w:keepLines w:val="0"/>
              <w:widowControl/>
              <w:suppressLineNumbers w:val="0"/>
              <w:jc w:val="left"/>
              <w:rPr>
                <w:rFonts w:ascii="楷体_GB2312" w:hAnsi="楷体_GB2312" w:eastAsia="楷体_GB2312" w:cs="楷体_GB2312"/>
                <w:sz w:val="18"/>
                <w:szCs w:val="18"/>
              </w:rPr>
            </w:pPr>
            <w:r>
              <w:rPr>
                <w:rFonts w:ascii="楷体_GB2312" w:hAnsi="楷体_GB2312" w:eastAsia="楷体_GB2312" w:cs="楷体_GB2312"/>
                <w:kern w:val="0"/>
                <w:sz w:val="18"/>
                <w:szCs w:val="18"/>
                <w:lang w:val="en-US" w:eastAsia="zh-CN" w:bidi="ar"/>
              </w:rPr>
              <w:t>1.市场营销、广告学、电子商务、工商管理、文化产业管理、会展经济与管理、传播学、公共关系等相关专业优先；</w:t>
            </w:r>
            <w:r>
              <w:rPr>
                <w:rFonts w:ascii="楷体_GB2312" w:hAnsi="楷体_GB2312" w:eastAsia="楷体_GB2312" w:cs="楷体_GB2312"/>
                <w:kern w:val="0"/>
                <w:sz w:val="18"/>
                <w:szCs w:val="18"/>
                <w:lang w:val="en-US" w:eastAsia="zh-CN" w:bidi="ar"/>
              </w:rPr>
              <w:br w:type="textWrapping"/>
            </w:r>
            <w:r>
              <w:rPr>
                <w:rFonts w:ascii="楷体_GB2312" w:hAnsi="楷体_GB2312" w:eastAsia="楷体_GB2312" w:cs="楷体_GB2312"/>
                <w:kern w:val="0"/>
                <w:sz w:val="18"/>
                <w:szCs w:val="18"/>
                <w:lang w:val="en-US" w:eastAsia="zh-CN" w:bidi="ar"/>
              </w:rPr>
              <w:t>2.具备品牌营销或产品营销等相关垂直实习经验可放宽专业限制；</w:t>
            </w:r>
          </w:p>
        </w:tc>
      </w:tr>
      <w:tr w14:paraId="48A1E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80" w:hRule="atLeast"/>
        </w:trPr>
        <w:tc>
          <w:tcPr>
            <w:tcW w:w="721" w:type="pct"/>
            <w:tcBorders>
              <w:top w:val="single" w:color="000000" w:sz="4" w:space="0"/>
              <w:left w:val="single" w:color="000000" w:sz="4" w:space="0"/>
              <w:bottom w:val="single" w:color="000000" w:sz="4" w:space="0"/>
              <w:right w:val="single" w:color="000000" w:sz="4" w:space="0"/>
            </w:tcBorders>
            <w:shd w:val="clear" w:color="auto" w:fill="auto"/>
            <w:noWrap/>
            <w:tcMar>
              <w:top w:w="17" w:type="dxa"/>
              <w:left w:w="26" w:type="dxa"/>
              <w:bottom w:w="17" w:type="dxa"/>
              <w:right w:w="26" w:type="dxa"/>
            </w:tcMar>
            <w:vAlign w:val="center"/>
          </w:tcPr>
          <w:p w14:paraId="23E82627">
            <w:pPr>
              <w:jc w:val="center"/>
              <w:rPr>
                <w:rFonts w:hint="default" w:ascii="楷体_GB2312" w:hAnsi="楷体_GB2312" w:eastAsia="楷体_GB2312" w:cs="楷体_GB2312"/>
                <w:sz w:val="18"/>
                <w:szCs w:val="18"/>
                <w:lang w:val="en-US" w:eastAsia="zh-CN"/>
              </w:rPr>
            </w:pPr>
            <w:r>
              <w:rPr>
                <w:rFonts w:hint="eastAsia" w:ascii="楷体_GB2312" w:hAnsi="楷体_GB2312" w:eastAsia="楷体_GB2312" w:cs="楷体_GB2312"/>
                <w:sz w:val="18"/>
                <w:szCs w:val="18"/>
                <w:lang w:val="en-US" w:eastAsia="zh-CN"/>
              </w:rPr>
              <w:t>定岗生计划</w:t>
            </w:r>
          </w:p>
        </w:tc>
        <w:tc>
          <w:tcPr>
            <w:tcW w:w="667" w:type="pct"/>
            <w:tcBorders>
              <w:top w:val="single" w:color="000000" w:sz="4" w:space="0"/>
              <w:left w:val="single" w:color="000000" w:sz="4" w:space="0"/>
              <w:bottom w:val="single" w:color="000000" w:sz="4" w:space="0"/>
              <w:right w:val="single" w:color="000000" w:sz="4" w:space="0"/>
            </w:tcBorders>
            <w:shd w:val="clear" w:color="auto" w:fill="auto"/>
            <w:noWrap/>
            <w:tcMar>
              <w:top w:w="17" w:type="dxa"/>
              <w:left w:w="26" w:type="dxa"/>
              <w:bottom w:w="17" w:type="dxa"/>
              <w:right w:w="26" w:type="dxa"/>
            </w:tcMar>
            <w:vAlign w:val="center"/>
          </w:tcPr>
          <w:p w14:paraId="33264A8B">
            <w:pPr>
              <w:keepNext w:val="0"/>
              <w:keepLines w:val="0"/>
              <w:widowControl/>
              <w:suppressLineNumbers w:val="0"/>
              <w:jc w:val="center"/>
              <w:textAlignment w:val="center"/>
              <w:rPr>
                <w:rFonts w:hint="default" w:ascii="楷体_GB2312" w:hAnsi="楷体_GB2312" w:eastAsia="楷体_GB2312" w:cs="楷体_GB2312"/>
                <w:color w:val="000000"/>
                <w:kern w:val="0"/>
                <w:sz w:val="18"/>
                <w:szCs w:val="18"/>
                <w:lang w:val="en-US" w:eastAsia="zh-CN" w:bidi="ar"/>
              </w:rPr>
            </w:pPr>
            <w:r>
              <w:rPr>
                <w:rFonts w:hint="eastAsia" w:ascii="楷体_GB2312" w:hAnsi="楷体_GB2312" w:eastAsia="楷体_GB2312" w:cs="楷体_GB2312"/>
                <w:color w:val="000000"/>
                <w:kern w:val="0"/>
                <w:sz w:val="18"/>
                <w:szCs w:val="18"/>
                <w:lang w:val="en-US" w:eastAsia="zh-CN" w:bidi="ar"/>
              </w:rPr>
              <w:t>持续更新</w:t>
            </w:r>
          </w:p>
        </w:tc>
        <w:tc>
          <w:tcPr>
            <w:tcW w:w="848" w:type="pct"/>
            <w:tcBorders>
              <w:top w:val="single" w:color="000000" w:sz="4" w:space="0"/>
              <w:left w:val="single" w:color="000000" w:sz="4" w:space="0"/>
              <w:bottom w:val="single" w:color="000000" w:sz="4" w:space="0"/>
              <w:right w:val="single" w:color="000000" w:sz="4" w:space="0"/>
            </w:tcBorders>
            <w:shd w:val="clear" w:color="auto" w:fill="auto"/>
            <w:tcMar>
              <w:top w:w="17" w:type="dxa"/>
              <w:left w:w="26" w:type="dxa"/>
              <w:bottom w:w="17" w:type="dxa"/>
              <w:right w:w="26" w:type="dxa"/>
            </w:tcMar>
            <w:vAlign w:val="center"/>
          </w:tcPr>
          <w:p w14:paraId="42681544">
            <w:pPr>
              <w:keepNext w:val="0"/>
              <w:keepLines w:val="0"/>
              <w:widowControl/>
              <w:suppressLineNumbers w:val="0"/>
              <w:jc w:val="center"/>
              <w:rPr>
                <w:rFonts w:hint="default" w:ascii="楷体_GB2312" w:hAnsi="楷体_GB2312" w:eastAsia="楷体_GB2312" w:cs="楷体_GB2312"/>
                <w:kern w:val="0"/>
                <w:sz w:val="18"/>
                <w:szCs w:val="18"/>
                <w:lang w:val="en-US" w:eastAsia="zh-CN" w:bidi="ar"/>
              </w:rPr>
            </w:pPr>
            <w:r>
              <w:rPr>
                <w:rFonts w:hint="eastAsia" w:ascii="楷体_GB2312" w:hAnsi="楷体_GB2312" w:eastAsia="楷体_GB2312" w:cs="楷体_GB2312"/>
                <w:kern w:val="0"/>
                <w:sz w:val="18"/>
                <w:szCs w:val="18"/>
                <w:lang w:val="en-US" w:eastAsia="zh-CN" w:bidi="ar"/>
              </w:rPr>
              <w:t>本科及以上</w:t>
            </w:r>
          </w:p>
        </w:tc>
        <w:tc>
          <w:tcPr>
            <w:tcW w:w="2762" w:type="pct"/>
            <w:tcBorders>
              <w:top w:val="single" w:color="000000" w:sz="4" w:space="0"/>
              <w:left w:val="single" w:color="000000" w:sz="4" w:space="0"/>
              <w:bottom w:val="single" w:color="000000" w:sz="4" w:space="0"/>
              <w:right w:val="single" w:color="000000" w:sz="4" w:space="0"/>
            </w:tcBorders>
            <w:shd w:val="clear" w:color="auto" w:fill="auto"/>
            <w:tcMar>
              <w:top w:w="17" w:type="dxa"/>
              <w:left w:w="26" w:type="dxa"/>
              <w:bottom w:w="17" w:type="dxa"/>
              <w:right w:w="26" w:type="dxa"/>
            </w:tcMar>
            <w:vAlign w:val="center"/>
          </w:tcPr>
          <w:p w14:paraId="7B7B5AFD">
            <w:pPr>
              <w:keepNext w:val="0"/>
              <w:keepLines w:val="0"/>
              <w:widowControl/>
              <w:suppressLineNumbers w:val="0"/>
              <w:jc w:val="center"/>
              <w:rPr>
                <w:rFonts w:hint="default" w:ascii="楷体_GB2312" w:hAnsi="楷体_GB2312" w:eastAsia="楷体_GB2312" w:cs="楷体_GB2312"/>
                <w:kern w:val="0"/>
                <w:sz w:val="18"/>
                <w:szCs w:val="18"/>
                <w:lang w:val="en-US" w:eastAsia="zh-CN" w:bidi="ar"/>
              </w:rPr>
            </w:pPr>
            <w:r>
              <w:rPr>
                <w:rFonts w:hint="eastAsia" w:ascii="楷体_GB2312" w:hAnsi="楷体_GB2312" w:eastAsia="楷体_GB2312" w:cs="楷体_GB2312"/>
                <w:kern w:val="0"/>
                <w:sz w:val="18"/>
                <w:szCs w:val="18"/>
                <w:lang w:val="en-US" w:eastAsia="zh-CN" w:bidi="ar"/>
              </w:rPr>
              <w:t>持续更新</w:t>
            </w:r>
            <w:r>
              <w:rPr>
                <w:rFonts w:hint="eastAsia" w:ascii="楷体_GB2312" w:hAnsi="楷体_GB2312" w:eastAsia="楷体_GB2312" w:cs="楷体_GB2312"/>
                <w:kern w:val="0"/>
                <w:sz w:val="18"/>
                <w:szCs w:val="18"/>
                <w:lang w:val="en-US" w:eastAsia="zh-CN" w:bidi="ar"/>
              </w:rPr>
              <w:t>IT、采购、品控等</w:t>
            </w:r>
            <w:r>
              <w:rPr>
                <w:rFonts w:hint="eastAsia" w:ascii="楷体_GB2312" w:hAnsi="楷体_GB2312" w:eastAsia="楷体_GB2312" w:cs="楷体_GB2312"/>
                <w:kern w:val="0"/>
                <w:sz w:val="18"/>
                <w:szCs w:val="18"/>
                <w:lang w:val="en-US" w:eastAsia="zh-CN" w:bidi="ar"/>
              </w:rPr>
              <w:t>....</w:t>
            </w:r>
          </w:p>
        </w:tc>
      </w:tr>
    </w:tbl>
    <w:p w14:paraId="26A0676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华文楷体" w:hAnsi="华文楷体" w:eastAsia="华文楷体" w:cs="华文楷体"/>
          <w:sz w:val="20"/>
          <w:szCs w:val="20"/>
          <w:lang w:val="en-US" w:eastAsia="zh-CN"/>
        </w:rPr>
      </w:pPr>
    </w:p>
    <w:p w14:paraId="6B2A65D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华文楷体" w:hAnsi="华文楷体" w:eastAsia="华文楷体" w:cs="华文楷体"/>
          <w:sz w:val="20"/>
          <w:szCs w:val="20"/>
        </w:rPr>
      </w:pPr>
      <w:r>
        <w:rPr>
          <w:rFonts w:hint="eastAsia" w:ascii="华文楷体" w:hAnsi="华文楷体" w:eastAsia="华文楷体" w:cs="华文楷体"/>
          <w:sz w:val="20"/>
          <w:szCs w:val="20"/>
          <w:lang w:val="en-US" w:eastAsia="zh-CN"/>
        </w:rPr>
        <w:t>注：2026校招岗位持续更新</w:t>
      </w:r>
      <w:r>
        <w:rPr>
          <w:rFonts w:hint="default" w:ascii="华文楷体" w:hAnsi="华文楷体" w:eastAsia="华文楷体" w:cs="华文楷体"/>
          <w:sz w:val="20"/>
          <w:szCs w:val="20"/>
          <w:woUserID w:val="1"/>
        </w:rPr>
        <w:t>，</w:t>
      </w:r>
      <w:r>
        <w:rPr>
          <w:rFonts w:hint="eastAsia" w:ascii="华文楷体" w:hAnsi="华文楷体" w:eastAsia="华文楷体" w:cs="华文楷体"/>
          <w:sz w:val="20"/>
          <w:szCs w:val="20"/>
        </w:rPr>
        <w:t>微信公众号搜索【海尼集团】进行“岗位投递”查看</w:t>
      </w:r>
    </w:p>
    <w:p w14:paraId="72D9818B">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0" w:firstLineChars="200"/>
        <w:textAlignment w:val="auto"/>
        <w:rPr>
          <w:rFonts w:hint="eastAsia" w:ascii="华文楷体" w:hAnsi="华文楷体" w:eastAsia="华文楷体" w:cs="华文楷体"/>
          <w:b/>
          <w:bCs/>
          <w:sz w:val="21"/>
          <w:szCs w:val="21"/>
          <w:lang w:val="en-US" w:eastAsia="zh-CN"/>
        </w:rPr>
      </w:pPr>
      <w:r>
        <w:rPr>
          <w:rFonts w:hint="eastAsia" w:ascii="华文楷体" w:hAnsi="华文楷体" w:eastAsia="华文楷体" w:cs="华文楷体"/>
          <w:b/>
          <w:bCs/>
          <w:sz w:val="21"/>
          <w:szCs w:val="21"/>
          <w:lang w:val="en-US" w:eastAsia="zh-CN"/>
        </w:rPr>
        <w:t>福利待遇</w:t>
      </w:r>
    </w:p>
    <w:p w14:paraId="07E5B4E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00" w:firstLineChars="200"/>
        <w:textAlignment w:val="auto"/>
        <w:rPr>
          <w:rFonts w:hint="eastAsia" w:ascii="华文楷体" w:hAnsi="华文楷体" w:eastAsia="华文楷体" w:cs="华文楷体"/>
          <w:sz w:val="20"/>
          <w:szCs w:val="20"/>
        </w:rPr>
      </w:pPr>
      <w:r>
        <w:rPr>
          <w:rFonts w:hint="eastAsia" w:ascii="华文楷体" w:hAnsi="华文楷体" w:eastAsia="华文楷体" w:cs="华文楷体"/>
          <w:sz w:val="20"/>
          <w:szCs w:val="20"/>
        </w:rPr>
        <w:t>我们执行的高固薪的宽带薪酬模式，高薪的基础上还享受年终奖等激励，主管级及</w:t>
      </w:r>
      <w:bookmarkStart w:id="0" w:name="_GoBack"/>
      <w:bookmarkEnd w:id="0"/>
      <w:r>
        <w:rPr>
          <w:rFonts w:hint="eastAsia" w:ascii="华文楷体" w:hAnsi="华文楷体" w:eastAsia="华文楷体" w:cs="华文楷体"/>
          <w:sz w:val="20"/>
          <w:szCs w:val="20"/>
        </w:rPr>
        <w:t xml:space="preserve">以上人员工作满一年表现优秀者，可触发合伙人机制，还有健全的福利政策: </w:t>
      </w:r>
    </w:p>
    <w:p w14:paraId="1854BE8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00" w:firstLineChars="200"/>
        <w:textAlignment w:val="auto"/>
        <w:rPr>
          <w:rFonts w:hint="eastAsia" w:ascii="华文楷体" w:hAnsi="华文楷体" w:eastAsia="华文楷体" w:cs="华文楷体"/>
          <w:sz w:val="20"/>
          <w:szCs w:val="20"/>
        </w:rPr>
      </w:pPr>
      <w:r>
        <w:rPr>
          <w:rFonts w:hint="eastAsia" w:ascii="华文楷体" w:hAnsi="华文楷体" w:eastAsia="华文楷体" w:cs="华文楷体"/>
          <w:sz w:val="20"/>
          <w:szCs w:val="20"/>
          <w:lang w:val="en-US" w:eastAsia="zh-CN"/>
        </w:rPr>
        <w:t>1.</w:t>
      </w:r>
      <w:r>
        <w:rPr>
          <w:rFonts w:hint="eastAsia" w:ascii="华文楷体" w:hAnsi="华文楷体" w:eastAsia="华文楷体" w:cs="华文楷体"/>
          <w:sz w:val="20"/>
          <w:szCs w:val="20"/>
        </w:rPr>
        <w:t>应届毕业生，根据院校学历及个人表现不同，综合年薪在8-20万；</w:t>
      </w:r>
    </w:p>
    <w:p w14:paraId="7B485AE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00" w:firstLineChars="200"/>
        <w:textAlignment w:val="auto"/>
        <w:rPr>
          <w:rFonts w:hint="eastAsia" w:ascii="华文楷体" w:hAnsi="华文楷体" w:eastAsia="华文楷体" w:cs="华文楷体"/>
          <w:b/>
          <w:bCs/>
          <w:sz w:val="20"/>
          <w:szCs w:val="20"/>
          <w:lang w:val="en-US" w:eastAsia="zh-CN"/>
        </w:rPr>
      </w:pPr>
      <w:r>
        <w:rPr>
          <w:rFonts w:hint="eastAsia" w:ascii="华文楷体" w:hAnsi="华文楷体" w:eastAsia="华文楷体" w:cs="华文楷体"/>
          <w:sz w:val="20"/>
          <w:szCs w:val="20"/>
        </w:rPr>
        <w:t xml:space="preserve">2.晋升到主管级，综合年薪20-30万左右；（有机会成为公司合伙人） </w:t>
      </w:r>
    </w:p>
    <w:p w14:paraId="477D8B0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00" w:firstLineChars="200"/>
        <w:textAlignment w:val="auto"/>
        <w:rPr>
          <w:rFonts w:hint="eastAsia" w:ascii="华文楷体" w:hAnsi="华文楷体" w:eastAsia="华文楷体" w:cs="华文楷体"/>
          <w:b/>
          <w:bCs/>
          <w:sz w:val="20"/>
          <w:szCs w:val="20"/>
          <w:lang w:val="en-US" w:eastAsia="zh-CN"/>
        </w:rPr>
      </w:pPr>
      <w:r>
        <w:rPr>
          <w:rFonts w:hint="eastAsia" w:ascii="华文楷体" w:hAnsi="华文楷体" w:eastAsia="华文楷体" w:cs="华文楷体"/>
          <w:sz w:val="20"/>
          <w:szCs w:val="20"/>
        </w:rPr>
        <w:t xml:space="preserve">3.晋升为经理级，综合年薪30-60万左右（有机会成为公司合伙人）； </w:t>
      </w:r>
    </w:p>
    <w:p w14:paraId="53312AE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00" w:firstLineChars="200"/>
        <w:textAlignment w:val="auto"/>
        <w:rPr>
          <w:rFonts w:hint="eastAsia" w:ascii="华文楷体" w:hAnsi="华文楷体" w:eastAsia="华文楷体" w:cs="华文楷体"/>
          <w:b/>
          <w:bCs/>
          <w:sz w:val="20"/>
          <w:szCs w:val="20"/>
          <w:lang w:val="en-US" w:eastAsia="zh-CN"/>
        </w:rPr>
      </w:pPr>
      <w:r>
        <w:rPr>
          <w:rFonts w:hint="eastAsia" w:ascii="华文楷体" w:hAnsi="华文楷体" w:eastAsia="华文楷体" w:cs="华文楷体"/>
          <w:sz w:val="20"/>
          <w:szCs w:val="20"/>
        </w:rPr>
        <w:t>4.晋升为总监级，综合年薪60-120万左右（有机会成为公司合伙人）；</w:t>
      </w:r>
    </w:p>
    <w:p w14:paraId="64DD3AA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华文楷体" w:hAnsi="华文楷体" w:eastAsia="华文楷体" w:cs="华文楷体"/>
          <w:sz w:val="18"/>
          <w:szCs w:val="18"/>
        </w:rPr>
      </w:pPr>
    </w:p>
    <w:p w14:paraId="177A726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华文楷体" w:hAnsi="华文楷体" w:eastAsia="华文楷体" w:cs="华文楷体"/>
          <w:b/>
          <w:bCs/>
          <w:sz w:val="21"/>
          <w:szCs w:val="21"/>
        </w:rPr>
      </w:pPr>
      <w:r>
        <w:rPr>
          <w:rFonts w:hint="eastAsia" w:ascii="华文楷体" w:hAnsi="华文楷体" w:eastAsia="华文楷体" w:cs="华文楷体"/>
          <w:b/>
          <w:bCs/>
          <w:sz w:val="21"/>
          <w:szCs w:val="21"/>
          <w:lang w:val="en-US" w:eastAsia="zh-CN"/>
        </w:rPr>
        <w:t>五</w:t>
      </w:r>
      <w:r>
        <w:rPr>
          <w:rFonts w:hint="eastAsia" w:ascii="华文楷体" w:hAnsi="华文楷体" w:eastAsia="华文楷体" w:cs="华文楷体"/>
          <w:b/>
          <w:bCs/>
          <w:sz w:val="21"/>
          <w:szCs w:val="21"/>
        </w:rPr>
        <w:t>、招聘流程</w:t>
      </w:r>
    </w:p>
    <w:p w14:paraId="7FAC8503">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华文楷体" w:hAnsi="华文楷体" w:eastAsia="华文楷体" w:cs="华文楷体"/>
          <w:sz w:val="20"/>
          <w:szCs w:val="20"/>
        </w:rPr>
      </w:pPr>
      <w:r>
        <w:rPr>
          <w:rFonts w:hint="eastAsia" w:ascii="华文楷体" w:hAnsi="华文楷体" w:eastAsia="华文楷体" w:cs="华文楷体"/>
          <w:sz w:val="20"/>
          <w:szCs w:val="20"/>
        </w:rPr>
        <w:t>网申/内推：</w:t>
      </w:r>
      <w:r>
        <w:rPr>
          <w:rFonts w:hint="eastAsia" w:ascii="华文楷体" w:hAnsi="华文楷体" w:eastAsia="华文楷体" w:cs="华文楷体"/>
          <w:sz w:val="20"/>
          <w:szCs w:val="20"/>
          <w:lang w:val="en-US" w:eastAsia="zh-CN"/>
        </w:rPr>
        <w:t>8</w:t>
      </w:r>
      <w:r>
        <w:rPr>
          <w:rFonts w:hint="eastAsia" w:ascii="华文楷体" w:hAnsi="华文楷体" w:eastAsia="华文楷体" w:cs="华文楷体"/>
          <w:sz w:val="20"/>
          <w:szCs w:val="20"/>
        </w:rPr>
        <w:t>月</w:t>
      </w:r>
      <w:r>
        <w:rPr>
          <w:rFonts w:hint="eastAsia" w:ascii="华文楷体" w:hAnsi="华文楷体" w:eastAsia="华文楷体" w:cs="华文楷体"/>
          <w:sz w:val="20"/>
          <w:szCs w:val="20"/>
          <w:lang w:val="en-US" w:eastAsia="zh-CN"/>
        </w:rPr>
        <w:t>中旬</w:t>
      </w:r>
      <w:r>
        <w:rPr>
          <w:rFonts w:hint="eastAsia" w:ascii="华文楷体" w:hAnsi="华文楷体" w:eastAsia="华文楷体" w:cs="华文楷体"/>
          <w:sz w:val="20"/>
          <w:szCs w:val="20"/>
        </w:rPr>
        <w:t>起</w:t>
      </w:r>
    </w:p>
    <w:p w14:paraId="46B9077F">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华文楷体" w:hAnsi="华文楷体" w:eastAsia="华文楷体" w:cs="华文楷体"/>
          <w:sz w:val="20"/>
          <w:szCs w:val="20"/>
        </w:rPr>
      </w:pPr>
      <w:r>
        <w:rPr>
          <w:rFonts w:hint="eastAsia" w:ascii="华文楷体" w:hAnsi="华文楷体" w:eastAsia="华文楷体" w:cs="华文楷体"/>
          <w:sz w:val="20"/>
          <w:szCs w:val="20"/>
        </w:rPr>
        <w:t>面试</w:t>
      </w:r>
      <w:r>
        <w:rPr>
          <w:rFonts w:hint="eastAsia" w:ascii="华文楷体" w:hAnsi="华文楷体" w:eastAsia="华文楷体" w:cs="华文楷体"/>
          <w:sz w:val="20"/>
          <w:szCs w:val="20"/>
          <w:lang w:val="en-US" w:eastAsia="zh-CN"/>
        </w:rPr>
        <w:t>流程</w:t>
      </w:r>
      <w:r>
        <w:rPr>
          <w:rFonts w:hint="eastAsia" w:ascii="华文楷体" w:hAnsi="华文楷体" w:eastAsia="华文楷体" w:cs="华文楷体"/>
          <w:sz w:val="20"/>
          <w:szCs w:val="20"/>
        </w:rPr>
        <w:t>：</w:t>
      </w:r>
      <w:r>
        <w:rPr>
          <w:rFonts w:hint="eastAsia" w:ascii="华文楷体" w:hAnsi="华文楷体" w:eastAsia="华文楷体" w:cs="华文楷体"/>
          <w:sz w:val="20"/>
          <w:szCs w:val="20"/>
          <w:lang w:val="en-US" w:eastAsia="zh-CN"/>
        </w:rPr>
        <w:t>8</w:t>
      </w:r>
      <w:r>
        <w:rPr>
          <w:rFonts w:hint="eastAsia" w:ascii="华文楷体" w:hAnsi="华文楷体" w:eastAsia="华文楷体" w:cs="华文楷体"/>
          <w:sz w:val="20"/>
          <w:szCs w:val="20"/>
        </w:rPr>
        <w:t>月</w:t>
      </w:r>
      <w:r>
        <w:rPr>
          <w:rFonts w:hint="default" w:ascii="华文楷体" w:hAnsi="华文楷体" w:eastAsia="华文楷体" w:cs="华文楷体"/>
          <w:sz w:val="20"/>
          <w:szCs w:val="20"/>
          <w:woUserID w:val="1"/>
        </w:rPr>
        <w:t>中旬</w:t>
      </w:r>
      <w:r>
        <w:rPr>
          <w:rFonts w:hint="eastAsia" w:ascii="华文楷体" w:hAnsi="华文楷体" w:eastAsia="华文楷体" w:cs="华文楷体"/>
          <w:sz w:val="20"/>
          <w:szCs w:val="20"/>
        </w:rPr>
        <w:t>起</w:t>
      </w:r>
    </w:p>
    <w:p w14:paraId="4ADA45DC">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default" w:ascii="华文楷体" w:hAnsi="华文楷体" w:eastAsia="华文楷体" w:cs="华文楷体"/>
          <w:sz w:val="20"/>
          <w:szCs w:val="20"/>
          <w:lang w:val="en-US" w:eastAsia="zh-CN"/>
        </w:rPr>
      </w:pPr>
      <w:r>
        <w:rPr>
          <w:rFonts w:hint="eastAsia" w:ascii="华文楷体" w:hAnsi="华文楷体" w:eastAsia="华文楷体" w:cs="华文楷体"/>
          <w:sz w:val="20"/>
          <w:szCs w:val="20"/>
          <w:lang w:val="en-US" w:eastAsia="zh-CN"/>
        </w:rPr>
        <w:t>线下专场：9月中旬起</w:t>
      </w:r>
    </w:p>
    <w:p w14:paraId="4BCB5E75">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default" w:ascii="华文楷体" w:hAnsi="华文楷体" w:eastAsia="华文楷体" w:cs="华文楷体"/>
          <w:sz w:val="20"/>
          <w:szCs w:val="20"/>
          <w:lang w:val="en-US" w:eastAsia="zh-CN"/>
        </w:rPr>
      </w:pPr>
      <w:r>
        <w:rPr>
          <w:rFonts w:hint="eastAsia" w:ascii="华文楷体" w:hAnsi="华文楷体" w:eastAsia="华文楷体" w:cs="华文楷体"/>
          <w:sz w:val="20"/>
          <w:szCs w:val="20"/>
          <w:lang w:val="en-US" w:eastAsia="zh-CN"/>
        </w:rPr>
        <w:t>注：具体详情欢迎关注</w:t>
      </w:r>
      <w:r>
        <w:rPr>
          <w:rFonts w:hint="default" w:ascii="华文楷体" w:hAnsi="华文楷体" w:eastAsia="华文楷体" w:cs="华文楷体"/>
          <w:sz w:val="20"/>
          <w:szCs w:val="20"/>
          <w:lang w:eastAsia="zh-CN"/>
          <w:woUserID w:val="1"/>
        </w:rPr>
        <w:t>【海尼集团】</w:t>
      </w:r>
      <w:r>
        <w:rPr>
          <w:rFonts w:hint="eastAsia" w:ascii="华文楷体" w:hAnsi="华文楷体" w:eastAsia="华文楷体" w:cs="华文楷体"/>
          <w:sz w:val="20"/>
          <w:szCs w:val="20"/>
          <w:lang w:val="en-US" w:eastAsia="zh-CN"/>
          <w:woUserID w:val="1"/>
        </w:rPr>
        <w:t>微信</w:t>
      </w:r>
      <w:r>
        <w:rPr>
          <w:rFonts w:hint="eastAsia" w:ascii="华文楷体" w:hAnsi="华文楷体" w:eastAsia="华文楷体" w:cs="华文楷体"/>
          <w:sz w:val="20"/>
          <w:szCs w:val="20"/>
          <w:lang w:val="en-US" w:eastAsia="zh-CN"/>
        </w:rPr>
        <w:t>公众号了解最新动态</w:t>
      </w:r>
    </w:p>
    <w:p w14:paraId="4D1842A1">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华文楷体" w:hAnsi="华文楷体" w:eastAsia="华文楷体" w:cs="华文楷体"/>
          <w:sz w:val="18"/>
          <w:szCs w:val="18"/>
        </w:rPr>
      </w:pPr>
    </w:p>
    <w:p w14:paraId="253BBFD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华文楷体" w:hAnsi="华文楷体" w:eastAsia="华文楷体" w:cs="华文楷体"/>
          <w:b/>
          <w:bCs/>
          <w:sz w:val="21"/>
          <w:szCs w:val="21"/>
        </w:rPr>
      </w:pPr>
      <w:r>
        <w:rPr>
          <w:rFonts w:hint="eastAsia" w:ascii="华文楷体" w:hAnsi="华文楷体" w:eastAsia="华文楷体" w:cs="华文楷体"/>
          <w:b/>
          <w:bCs/>
          <w:sz w:val="21"/>
          <w:szCs w:val="21"/>
          <w:lang w:val="en-US" w:eastAsia="zh-CN"/>
        </w:rPr>
        <w:t>六</w:t>
      </w:r>
      <w:r>
        <w:rPr>
          <w:rFonts w:hint="eastAsia" w:ascii="华文楷体" w:hAnsi="华文楷体" w:eastAsia="华文楷体" w:cs="华文楷体"/>
          <w:b/>
          <w:bCs/>
          <w:sz w:val="21"/>
          <w:szCs w:val="21"/>
        </w:rPr>
        <w:t>、培训发展</w:t>
      </w:r>
    </w:p>
    <w:p w14:paraId="2599415E">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华文楷体" w:hAnsi="华文楷体" w:eastAsia="华文楷体" w:cs="华文楷体"/>
          <w:sz w:val="20"/>
          <w:szCs w:val="20"/>
        </w:rPr>
      </w:pPr>
      <w:r>
        <w:rPr>
          <w:rFonts w:hint="eastAsia" w:ascii="华文楷体" w:hAnsi="华文楷体" w:eastAsia="华文楷体" w:cs="华文楷体"/>
          <w:sz w:val="20"/>
          <w:szCs w:val="20"/>
        </w:rPr>
        <w:t>海尼集团规范的企业管理体系和晋升机制有助于丰富和助力员工职业生涯发展。集团注重员工培养，有完善公平的晋升机制。在每位伙伴加入</w:t>
      </w:r>
      <w:r>
        <w:rPr>
          <w:rFonts w:hint="default" w:ascii="华文楷体" w:hAnsi="华文楷体" w:eastAsia="华文楷体" w:cs="华文楷体"/>
          <w:sz w:val="20"/>
          <w:szCs w:val="20"/>
          <w:woUserID w:val="1"/>
        </w:rPr>
        <w:t>即</w:t>
      </w:r>
      <w:r>
        <w:rPr>
          <w:rFonts w:hint="eastAsia" w:ascii="华文楷体" w:hAnsi="华文楷体" w:eastAsia="华文楷体" w:cs="华文楷体"/>
          <w:sz w:val="20"/>
          <w:szCs w:val="20"/>
        </w:rPr>
        <w:t>启动专项的培养计划，从入职开始到整个晋升过程中都有系统的培养计划：“蜂蛹计划”——“蜂芒计划”——“成蜂计划”——“蜂王计划”。</w:t>
      </w:r>
    </w:p>
    <w:p w14:paraId="07DCE829">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华文楷体" w:hAnsi="华文楷体" w:eastAsia="华文楷体" w:cs="华文楷体"/>
          <w:sz w:val="20"/>
          <w:szCs w:val="20"/>
        </w:rPr>
      </w:pPr>
    </w:p>
    <w:p w14:paraId="64146B9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华文楷体" w:hAnsi="华文楷体" w:eastAsia="华文楷体" w:cs="华文楷体"/>
          <w:b/>
          <w:bCs/>
          <w:sz w:val="21"/>
          <w:szCs w:val="21"/>
        </w:rPr>
      </w:pPr>
      <w:r>
        <w:rPr>
          <w:rFonts w:hint="eastAsia" w:ascii="华文楷体" w:hAnsi="华文楷体" w:eastAsia="华文楷体" w:cs="华文楷体"/>
          <w:b/>
          <w:bCs/>
          <w:sz w:val="21"/>
          <w:szCs w:val="21"/>
          <w:lang w:val="en-US" w:eastAsia="zh-CN"/>
        </w:rPr>
        <w:t>七</w:t>
      </w:r>
      <w:r>
        <w:rPr>
          <w:rFonts w:hint="eastAsia" w:ascii="华文楷体" w:hAnsi="华文楷体" w:eastAsia="华文楷体" w:cs="华文楷体"/>
          <w:b/>
          <w:bCs/>
          <w:sz w:val="21"/>
          <w:szCs w:val="21"/>
        </w:rPr>
        <w:t>、雇主理念</w:t>
      </w:r>
    </w:p>
    <w:p w14:paraId="54D6D8EB">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华文楷体" w:hAnsi="华文楷体" w:eastAsia="华文楷体" w:cs="华文楷体"/>
          <w:sz w:val="20"/>
          <w:szCs w:val="20"/>
        </w:rPr>
      </w:pPr>
      <w:r>
        <w:rPr>
          <w:rFonts w:hint="eastAsia" w:ascii="华文楷体" w:hAnsi="华文楷体" w:eastAsia="华文楷体" w:cs="华文楷体"/>
          <w:sz w:val="20"/>
          <w:szCs w:val="20"/>
        </w:rPr>
        <w:t>打造令人向往的公司</w:t>
      </w:r>
    </w:p>
    <w:p w14:paraId="1AA219BB">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华文楷体" w:hAnsi="华文楷体" w:eastAsia="华文楷体" w:cs="华文楷体"/>
          <w:sz w:val="20"/>
          <w:szCs w:val="20"/>
        </w:rPr>
      </w:pPr>
      <w:r>
        <w:rPr>
          <w:rFonts w:hint="eastAsia" w:ascii="华文楷体" w:hAnsi="华文楷体" w:eastAsia="华文楷体" w:cs="华文楷体"/>
          <w:sz w:val="20"/>
          <w:szCs w:val="20"/>
        </w:rPr>
        <w:t>成长更快：</w:t>
      </w:r>
      <w:r>
        <w:rPr>
          <w:rFonts w:hint="eastAsia" w:ascii="华文楷体" w:hAnsi="华文楷体" w:eastAsia="华文楷体" w:cs="华文楷体"/>
          <w:sz w:val="20"/>
          <w:szCs w:val="20"/>
          <w:lang w:val="en-US" w:eastAsia="zh-CN"/>
        </w:rPr>
        <w:t>先进</w:t>
      </w:r>
      <w:r>
        <w:rPr>
          <w:rFonts w:hint="eastAsia" w:ascii="华文楷体" w:hAnsi="华文楷体" w:eastAsia="华文楷体" w:cs="华文楷体"/>
          <w:sz w:val="20"/>
          <w:szCs w:val="20"/>
        </w:rPr>
        <w:t>的人才培养理念、完善的人才培养机制、广阔的人才成长空间；</w:t>
      </w:r>
    </w:p>
    <w:p w14:paraId="0979D27F">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华文楷体" w:hAnsi="华文楷体" w:eastAsia="华文楷体" w:cs="华文楷体"/>
          <w:sz w:val="20"/>
          <w:szCs w:val="20"/>
        </w:rPr>
      </w:pPr>
      <w:r>
        <w:rPr>
          <w:rFonts w:hint="eastAsia" w:ascii="华文楷体" w:hAnsi="华文楷体" w:eastAsia="华文楷体" w:cs="华文楷体"/>
          <w:sz w:val="20"/>
          <w:szCs w:val="20"/>
        </w:rPr>
        <w:t>收入更高：以更高人效实现更快增长、增长方式更加持续健康，公司拥有分享更多的能力，同时保持人才激励的领先；</w:t>
      </w:r>
    </w:p>
    <w:p w14:paraId="39BF76A9">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华文楷体" w:hAnsi="华文楷体" w:eastAsia="华文楷体" w:cs="华文楷体"/>
          <w:sz w:val="20"/>
          <w:szCs w:val="20"/>
        </w:rPr>
      </w:pPr>
      <w:r>
        <w:rPr>
          <w:rFonts w:hint="eastAsia" w:ascii="华文楷体" w:hAnsi="华文楷体" w:eastAsia="华文楷体" w:cs="华文楷体"/>
          <w:sz w:val="20"/>
          <w:szCs w:val="20"/>
        </w:rPr>
        <w:t>工作更开心：遵循内驱的管理理念、积极欣赏用人所长、开放包容的工作关系、简单纯粹的文化氛围；</w:t>
      </w:r>
    </w:p>
    <w:p w14:paraId="687E4BE0">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华文楷体" w:hAnsi="华文楷体" w:eastAsia="华文楷体" w:cs="华文楷体"/>
          <w:sz w:val="20"/>
          <w:szCs w:val="20"/>
        </w:rPr>
      </w:pPr>
      <w:r>
        <w:rPr>
          <w:rFonts w:hint="eastAsia" w:ascii="华文楷体" w:hAnsi="华文楷体" w:eastAsia="华文楷体" w:cs="华文楷体"/>
          <w:sz w:val="20"/>
          <w:szCs w:val="20"/>
        </w:rPr>
        <w:t>家庭更幸福：提倡生活与工作的平衡，让员工共拥有家庭幸福的能力，为员工提供家庭幸福的后盾支持；</w:t>
      </w:r>
    </w:p>
    <w:p w14:paraId="22F706FB">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华文楷体" w:hAnsi="华文楷体" w:eastAsia="华文楷体" w:cs="华文楷体"/>
          <w:sz w:val="18"/>
          <w:szCs w:val="18"/>
        </w:rPr>
      </w:pPr>
    </w:p>
    <w:p w14:paraId="31B0626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华文楷体" w:hAnsi="华文楷体" w:eastAsia="华文楷体" w:cs="华文楷体"/>
          <w:b/>
          <w:bCs/>
          <w:sz w:val="21"/>
          <w:szCs w:val="21"/>
          <w:lang w:val="en-US" w:eastAsia="zh-CN"/>
        </w:rPr>
      </w:pPr>
      <w:r>
        <w:rPr>
          <w:rFonts w:hint="eastAsia" w:ascii="华文楷体" w:hAnsi="华文楷体" w:eastAsia="华文楷体" w:cs="华文楷体"/>
          <w:b/>
          <w:bCs/>
          <w:sz w:val="21"/>
          <w:szCs w:val="21"/>
          <w:lang w:val="en-US" w:eastAsia="zh-CN"/>
        </w:rPr>
        <w:t>八、简历投递：</w:t>
      </w:r>
    </w:p>
    <w:p w14:paraId="33BBA82B">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华文楷体" w:hAnsi="华文楷体" w:eastAsia="华文楷体" w:cs="华文楷体"/>
          <w:sz w:val="20"/>
          <w:szCs w:val="20"/>
          <w:lang w:val="en-US" w:eastAsia="zh-CN"/>
        </w:rPr>
      </w:pPr>
      <w:r>
        <w:rPr>
          <w:rFonts w:hint="eastAsia" w:ascii="华文楷体" w:hAnsi="华文楷体" w:eastAsia="华文楷体" w:cs="华文楷体"/>
          <w:sz w:val="20"/>
          <w:szCs w:val="20"/>
          <w:lang w:val="en-US" w:eastAsia="zh-CN"/>
        </w:rPr>
        <w:t>扫描下方二维码，进入招聘页面，即刻进行投递；</w:t>
      </w:r>
    </w:p>
    <w:p w14:paraId="5CD3E78D">
      <w:pPr>
        <w:keepNext w:val="0"/>
        <w:keepLines w:val="0"/>
        <w:pageBreakBefore w:val="0"/>
        <w:widowControl w:val="0"/>
        <w:kinsoku/>
        <w:wordWrap/>
        <w:overflowPunct/>
        <w:topLinePunct w:val="0"/>
        <w:autoSpaceDE/>
        <w:autoSpaceDN/>
        <w:bidi w:val="0"/>
        <w:adjustRightInd/>
        <w:snapToGrid/>
        <w:spacing w:line="360" w:lineRule="auto"/>
        <w:ind w:firstLine="360" w:firstLineChars="200"/>
        <w:textAlignment w:val="auto"/>
        <w:rPr>
          <w:rFonts w:hint="eastAsia" w:ascii="华文楷体" w:hAnsi="华文楷体" w:eastAsia="华文楷体" w:cs="华文楷体"/>
          <w:sz w:val="18"/>
          <w:szCs w:val="18"/>
          <w:lang w:val="en-US" w:eastAsia="zh-CN"/>
        </w:rPr>
      </w:pPr>
      <w:r>
        <w:rPr>
          <w:rFonts w:hint="eastAsia" w:ascii="华文楷体" w:hAnsi="华文楷体" w:eastAsia="华文楷体" w:cs="华文楷体"/>
          <w:sz w:val="18"/>
          <w:szCs w:val="18"/>
          <w:lang w:val="en-US" w:eastAsia="zh-CN"/>
        </w:rPr>
        <w:drawing>
          <wp:inline distT="0" distB="0" distL="114300" distR="114300">
            <wp:extent cx="1085850" cy="1085850"/>
            <wp:effectExtent l="0" t="0" r="0" b="0"/>
            <wp:docPr id="1" name="图片 1" descr="公众号二维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公众号二维码"/>
                    <pic:cNvPicPr>
                      <a:picLocks noChangeAspect="1"/>
                    </pic:cNvPicPr>
                  </pic:nvPicPr>
                  <pic:blipFill>
                    <a:blip r:embed="rId4"/>
                    <a:stretch>
                      <a:fillRect/>
                    </a:stretch>
                  </pic:blipFill>
                  <pic:spPr>
                    <a:xfrm>
                      <a:off x="0" y="0"/>
                      <a:ext cx="1085850" cy="1085850"/>
                    </a:xfrm>
                    <a:prstGeom prst="rect">
                      <a:avLst/>
                    </a:prstGeom>
                  </pic:spPr>
                </pic:pic>
              </a:graphicData>
            </a:graphic>
          </wp:inline>
        </w:drawing>
      </w:r>
    </w:p>
    <w:p w14:paraId="0B8A221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华文楷体" w:hAnsi="华文楷体" w:eastAsia="华文楷体" w:cs="华文楷体"/>
          <w:sz w:val="21"/>
          <w:szCs w:val="21"/>
          <w:lang w:val="en-US" w:eastAsia="zh-CN"/>
        </w:rPr>
      </w:pPr>
      <w:r>
        <w:rPr>
          <w:rFonts w:hint="eastAsia" w:ascii="华文楷体" w:hAnsi="华文楷体" w:eastAsia="华文楷体" w:cs="华文楷体"/>
          <w:sz w:val="21"/>
          <w:szCs w:val="21"/>
          <w:lang w:val="en-US" w:eastAsia="zh-CN"/>
        </w:rPr>
        <w:t>联系方式：</w:t>
      </w:r>
    </w:p>
    <w:p w14:paraId="6B8E9DA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华文楷体" w:hAnsi="华文楷体" w:eastAsia="华文楷体" w:cs="华文楷体"/>
          <w:sz w:val="21"/>
          <w:szCs w:val="21"/>
          <w:lang w:val="en-US" w:eastAsia="zh-CN"/>
        </w:rPr>
      </w:pPr>
      <w:r>
        <w:rPr>
          <w:rFonts w:hint="eastAsia" w:ascii="华文楷体" w:hAnsi="华文楷体" w:eastAsia="华文楷体" w:cs="华文楷体"/>
          <w:sz w:val="21"/>
          <w:szCs w:val="21"/>
          <w:lang w:val="en-US" w:eastAsia="zh-CN"/>
        </w:rPr>
        <w:t>电话：18136520833 （张老师）</w:t>
      </w:r>
    </w:p>
    <w:p w14:paraId="1B7FC28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华文楷体" w:hAnsi="华文楷体" w:eastAsia="华文楷体" w:cs="华文楷体"/>
          <w:sz w:val="21"/>
          <w:szCs w:val="21"/>
          <w:lang w:val="en-US" w:eastAsia="zh-CN"/>
        </w:rPr>
      </w:pPr>
      <w:r>
        <w:rPr>
          <w:rFonts w:hint="eastAsia" w:ascii="华文楷体" w:hAnsi="华文楷体" w:eastAsia="华文楷体" w:cs="华文楷体"/>
          <w:sz w:val="21"/>
          <w:szCs w:val="21"/>
          <w:lang w:val="en-US" w:eastAsia="zh-CN"/>
        </w:rPr>
        <w:t>邮箱：</w:t>
      </w:r>
      <w:r>
        <w:rPr>
          <w:rFonts w:hint="eastAsia" w:ascii="华文楷体" w:hAnsi="华文楷体" w:eastAsia="华文楷体" w:cs="华文楷体"/>
          <w:sz w:val="21"/>
          <w:szCs w:val="21"/>
          <w:lang w:val="en-US" w:eastAsia="zh-CN"/>
        </w:rPr>
        <w:fldChar w:fldCharType="begin"/>
      </w:r>
      <w:r>
        <w:rPr>
          <w:rFonts w:hint="eastAsia" w:ascii="华文楷体" w:hAnsi="华文楷体" w:eastAsia="华文楷体" w:cs="华文楷体"/>
          <w:sz w:val="21"/>
          <w:szCs w:val="21"/>
          <w:lang w:val="en-US" w:eastAsia="zh-CN"/>
        </w:rPr>
        <w:instrText xml:space="preserve"> HYPERLINK "mailto:zhangqiqi@xmhaini.com" </w:instrText>
      </w:r>
      <w:r>
        <w:rPr>
          <w:rFonts w:hint="eastAsia" w:ascii="华文楷体" w:hAnsi="华文楷体" w:eastAsia="华文楷体" w:cs="华文楷体"/>
          <w:sz w:val="21"/>
          <w:szCs w:val="21"/>
          <w:lang w:val="en-US" w:eastAsia="zh-CN"/>
        </w:rPr>
        <w:fldChar w:fldCharType="separate"/>
      </w:r>
      <w:r>
        <w:rPr>
          <w:rStyle w:val="5"/>
          <w:rFonts w:hint="eastAsia" w:ascii="华文楷体" w:hAnsi="华文楷体" w:eastAsia="华文楷体" w:cs="华文楷体"/>
          <w:sz w:val="21"/>
          <w:szCs w:val="21"/>
          <w:lang w:val="en-US" w:eastAsia="zh-CN"/>
        </w:rPr>
        <w:t>zhangqiqi@xmhaini.com</w:t>
      </w:r>
      <w:r>
        <w:rPr>
          <w:rFonts w:hint="eastAsia" w:ascii="华文楷体" w:hAnsi="华文楷体" w:eastAsia="华文楷体" w:cs="华文楷体"/>
          <w:sz w:val="21"/>
          <w:szCs w:val="21"/>
          <w:lang w:val="en-US" w:eastAsia="zh-CN"/>
        </w:rPr>
        <w:fldChar w:fldCharType="end"/>
      </w:r>
      <w:r>
        <w:rPr>
          <w:rFonts w:hint="eastAsia" w:ascii="华文楷体" w:hAnsi="华文楷体" w:eastAsia="华文楷体" w:cs="华文楷体"/>
          <w:sz w:val="21"/>
          <w:szCs w:val="21"/>
          <w:lang w:val="en-US" w:eastAsia="zh-CN"/>
        </w:rPr>
        <w:t xml:space="preserve"> （问题咨询、简历推荐可联系-内推奖1000起）</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华文楷体">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D8CC509"/>
    <w:multiLevelType w:val="singleLevel"/>
    <w:tmpl w:val="2D8CC509"/>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VjN2M4NDU1ZDhmYWI5Y2YxNzA1ZDYzYjkxMGY3ZTYifQ=="/>
  </w:docVars>
  <w:rsids>
    <w:rsidRoot w:val="73595096"/>
    <w:rsid w:val="257B0355"/>
    <w:rsid w:val="259E60F2"/>
    <w:rsid w:val="3FCC28D0"/>
    <w:rsid w:val="4FBF553D"/>
    <w:rsid w:val="73595096"/>
    <w:rsid w:val="FDBFC6C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Pages>
  <Words>1748</Words>
  <Characters>1854</Characters>
  <Lines>0</Lines>
  <Paragraphs>0</Paragraphs>
  <TotalTime>1539</TotalTime>
  <ScaleCrop>false</ScaleCrop>
  <LinksUpToDate>false</LinksUpToDate>
  <CharactersWithSpaces>1868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2024-09-05T03:40:00Z</dcterms:created>
  <dc:creator>KikloO</dc:creator>
  <cp:lastModifiedBy>KikloO</cp:lastModifiedBy>
  <dcterms:modified xsi:type="dcterms:W3CDTF">2025-08-19T08:19:11Z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708C468D5C91449DA94554CE953DB83C_13</vt:lpwstr>
  </property>
  <property fmtid="{D5CDD505-2E9C-101B-9397-08002B2CF9AE}" pid="4" name="KSOTemplateDocerSaveRecord">
    <vt:lpwstr>eyJoZGlkIjoiNTVjN2M4NDU1ZDhmYWI5Y2YxNzA1ZDYzYjkxMGY3ZTYiLCJ1c2VySWQiOiIzMDg4MjE2OTIifQ==</vt:lpwstr>
  </property>
</Properties>
</file>