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b/>
          <w:color w:val="auto"/>
          <w:sz w:val="44"/>
          <w:szCs w:val="44"/>
          <w:highlight w:val="none"/>
        </w:rPr>
      </w:pPr>
      <w:r>
        <w:rPr>
          <w:rFonts w:hint="eastAsia" w:ascii="方正小标宋简体" w:hAnsi="方正小标宋简体" w:eastAsia="方正小标宋简体" w:cs="方正小标宋简体"/>
          <w:b/>
          <w:color w:val="auto"/>
          <w:sz w:val="44"/>
          <w:szCs w:val="44"/>
          <w:highlight w:val="none"/>
        </w:rPr>
        <w:t>贵阳银行202</w:t>
      </w:r>
      <w:r>
        <w:rPr>
          <w:rFonts w:hint="eastAsia" w:ascii="方正小标宋简体" w:hAnsi="方正小标宋简体" w:eastAsia="方正小标宋简体" w:cs="方正小标宋简体"/>
          <w:b/>
          <w:color w:val="auto"/>
          <w:sz w:val="44"/>
          <w:szCs w:val="44"/>
          <w:highlight w:val="none"/>
          <w:lang w:val="en-US" w:eastAsia="zh-CN"/>
        </w:rPr>
        <w:t>5</w:t>
      </w:r>
      <w:r>
        <w:rPr>
          <w:rFonts w:hint="eastAsia" w:ascii="方正小标宋简体" w:hAnsi="方正小标宋简体" w:eastAsia="方正小标宋简体" w:cs="方正小标宋简体"/>
          <w:b/>
          <w:color w:val="auto"/>
          <w:sz w:val="44"/>
          <w:szCs w:val="44"/>
          <w:highlight w:val="none"/>
        </w:rPr>
        <w:t>年大学生招聘启事</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b/>
          <w:color w:val="auto"/>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贵阳银行成立于1997年，总行位于贵州省贵阳市，2016年8月在上海证券交易所成功上市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全行下辖9个省内分行、1个省外分行，机构网点实现贵州省88个县域全覆盖，形成了立足贵州、辐射西南的服务网络，是中西部第一家A股上市的城市商业银行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贵州省第一家上市金融企业</w:t>
      </w:r>
      <w:r>
        <w:rPr>
          <w:rFonts w:hint="eastAsia" w:ascii="仿宋_GB2312" w:hAnsi="仿宋_GB2312" w:eastAsia="仿宋_GB2312" w:cs="仿宋_GB2312"/>
          <w:color w:val="auto"/>
          <w:sz w:val="32"/>
          <w:szCs w:val="32"/>
          <w:highlight w:val="none"/>
          <w:lang w:val="en-US" w:eastAsia="zh-CN"/>
        </w:rPr>
        <w:t>和贵州省第一大法人金融机构</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凭借多年的不懈努力，贵阳银行的发展获得业界广泛认可。在英国《银行家》杂志发布的“2024全球银行1000强排名”中，贵阳银行排名位列205位；在2024年中国银行业协会发布的中国银行业100强排名第37名。</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一、招聘岗位</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管培生岗</w:t>
      </w:r>
      <w:r>
        <w:rPr>
          <w:rFonts w:hint="eastAsia" w:ascii="仿宋_GB2312" w:hAnsi="仿宋_GB2312" w:eastAsia="仿宋_GB2312" w:cs="仿宋_GB2312"/>
          <w:color w:val="auto"/>
          <w:sz w:val="32"/>
          <w:szCs w:val="32"/>
          <w:highlight w:val="none"/>
          <w:lang w:val="en-US" w:eastAsia="zh-CN"/>
        </w:rPr>
        <w:t>20</w:t>
      </w:r>
      <w:r>
        <w:rPr>
          <w:rFonts w:hint="eastAsia" w:ascii="仿宋_GB2312" w:hAnsi="仿宋_GB2312" w:eastAsia="仿宋_GB2312" w:cs="仿宋_GB2312"/>
          <w:color w:val="auto"/>
          <w:sz w:val="32"/>
          <w:szCs w:val="32"/>
          <w:highlight w:val="none"/>
        </w:rPr>
        <w:t>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科技定向生岗10人、</w:t>
      </w:r>
      <w:r>
        <w:rPr>
          <w:rFonts w:hint="eastAsia" w:ascii="仿宋_GB2312" w:hAnsi="仿宋_GB2312" w:eastAsia="仿宋_GB2312" w:cs="仿宋_GB2312"/>
          <w:color w:val="auto"/>
          <w:sz w:val="32"/>
          <w:szCs w:val="32"/>
          <w:highlight w:val="none"/>
        </w:rPr>
        <w:t>分支行业务管理岗</w:t>
      </w:r>
      <w:r>
        <w:rPr>
          <w:rFonts w:hint="eastAsia" w:ascii="仿宋_GB2312" w:hAnsi="仿宋_GB2312" w:eastAsia="仿宋_GB2312" w:cs="仿宋_GB2312"/>
          <w:color w:val="auto"/>
          <w:sz w:val="32"/>
          <w:szCs w:val="32"/>
          <w:highlight w:val="none"/>
          <w:lang w:val="en-US" w:eastAsia="zh-CN"/>
        </w:rPr>
        <w:t>60人、</w:t>
      </w:r>
      <w:r>
        <w:rPr>
          <w:rFonts w:hint="eastAsia" w:ascii="仿宋_GB2312" w:hAnsi="仿宋_GB2312" w:eastAsia="仿宋_GB2312" w:cs="仿宋_GB2312"/>
          <w:color w:val="auto"/>
          <w:sz w:val="32"/>
          <w:szCs w:val="32"/>
          <w:highlight w:val="none"/>
        </w:rPr>
        <w:t>分支行前台操作岗</w:t>
      </w:r>
      <w:r>
        <w:rPr>
          <w:rFonts w:hint="eastAsia" w:ascii="仿宋_GB2312" w:hAnsi="仿宋_GB2312" w:eastAsia="仿宋_GB2312" w:cs="仿宋_GB2312"/>
          <w:color w:val="auto"/>
          <w:sz w:val="32"/>
          <w:szCs w:val="32"/>
          <w:highlight w:val="none"/>
          <w:lang w:val="en-US" w:eastAsia="zh-CN"/>
        </w:rPr>
        <w:t>110人。</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二、招聘条件</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0" w:name="OLE_LINK4"/>
      <w:r>
        <w:rPr>
          <w:rFonts w:hint="eastAsia" w:ascii="仿宋_GB2312" w:hAnsi="仿宋_GB2312" w:eastAsia="仿宋_GB2312" w:cs="仿宋_GB2312"/>
          <w:color w:val="auto"/>
          <w:sz w:val="32"/>
          <w:szCs w:val="32"/>
          <w:highlight w:val="none"/>
          <w:lang w:val="en-US" w:eastAsia="zh-CN"/>
        </w:rPr>
        <w:t>应聘者应具备以下条件：</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right="0" w:firstLine="640" w:firstLineChars="200"/>
        <w:jc w:val="both"/>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基本条件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1.具有中华人民共和国国籍，遵守中华人民共和国宪法和法律法规；</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2.具有良好的思想政治品德，有事业心和责任感；</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3.</w:t>
      </w:r>
      <w:r>
        <w:rPr>
          <w:rFonts w:hint="eastAsia" w:ascii="仿宋_GB2312" w:hAnsi="仿宋_GB2312" w:eastAsia="仿宋_GB2312" w:cs="仿宋_GB2312"/>
          <w:color w:val="auto"/>
          <w:sz w:val="32"/>
          <w:szCs w:val="32"/>
          <w:highlight w:val="none"/>
          <w:lang w:val="en-US" w:eastAsia="zh-CN"/>
        </w:rPr>
        <w:t>本科26周岁以下（1998年3月1日后出生），硕士研究生28周岁以下（1996年3月1日后出生），博士研究生年龄不限。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bookmarkStart w:id="1" w:name="OLE_LINK9"/>
      <w:r>
        <w:rPr>
          <w:rFonts w:hint="eastAsia" w:ascii="仿宋_GB2312" w:hAnsi="仿宋_GB2312" w:eastAsia="仿宋_GB2312" w:cs="仿宋_GB2312"/>
          <w:color w:val="auto"/>
          <w:sz w:val="32"/>
          <w:szCs w:val="32"/>
          <w:highlight w:val="none"/>
          <w:lang w:val="en-US" w:eastAsia="zh-CN"/>
        </w:rPr>
        <w:t>2024年、2025年全国普通高等院校统招本科及以上</w:t>
      </w:r>
      <w:bookmarkStart w:id="10" w:name="_GoBack"/>
      <w:bookmarkEnd w:id="10"/>
      <w:r>
        <w:rPr>
          <w:rFonts w:hint="eastAsia" w:ascii="仿宋_GB2312" w:hAnsi="仿宋_GB2312" w:eastAsia="仿宋_GB2312" w:cs="仿宋_GB2312"/>
          <w:color w:val="auto"/>
          <w:sz w:val="32"/>
          <w:szCs w:val="32"/>
          <w:highlight w:val="none"/>
          <w:lang w:val="en-US" w:eastAsia="zh-CN"/>
        </w:rPr>
        <w:t>应届毕业生，2024年、2025年境外院校本科及以上毕业生。</w:t>
      </w:r>
      <w:bookmarkEnd w:id="1"/>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right="0" w:firstLine="640" w:firstLineChars="200"/>
        <w:jc w:val="both"/>
        <w:textAlignment w:val="auto"/>
        <w:rPr>
          <w:rFonts w:hint="default"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其他条件</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1.管培生岗</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36所</w:t>
      </w:r>
      <w:bookmarkStart w:id="2" w:name="OLE_LINK2"/>
      <w:r>
        <w:rPr>
          <w:rFonts w:hint="eastAsia" w:ascii="仿宋_GB2312" w:hAnsi="仿宋_GB2312" w:eastAsia="仿宋_GB2312" w:cs="仿宋_GB2312"/>
          <w:color w:val="auto"/>
          <w:sz w:val="32"/>
          <w:szCs w:val="32"/>
          <w:highlight w:val="none"/>
          <w:lang w:val="en-US" w:eastAsia="zh-CN"/>
        </w:rPr>
        <w:t>国家一流大学建设高校</w:t>
      </w:r>
      <w:bookmarkEnd w:id="2"/>
      <w:r>
        <w:rPr>
          <w:rFonts w:hint="eastAsia" w:ascii="仿宋_GB2312" w:hAnsi="仿宋_GB2312" w:eastAsia="仿宋_GB2312" w:cs="仿宋_GB2312"/>
          <w:color w:val="auto"/>
          <w:sz w:val="32"/>
          <w:szCs w:val="32"/>
          <w:highlight w:val="none"/>
          <w:lang w:val="en-US" w:eastAsia="zh-CN"/>
        </w:rPr>
        <w:t>（A类）和</w:t>
      </w:r>
      <w:r>
        <w:rPr>
          <w:rFonts w:hint="eastAsia" w:ascii="仿宋_GB2312" w:hAnsi="仿宋_GB2312" w:eastAsia="仿宋_GB2312" w:cs="仿宋_GB2312"/>
          <w:color w:val="auto"/>
          <w:sz w:val="32"/>
          <w:szCs w:val="32"/>
          <w:highlight w:val="none"/>
        </w:rPr>
        <w:t>5所财经类</w:t>
      </w:r>
      <w:r>
        <w:rPr>
          <w:rFonts w:hint="eastAsia" w:ascii="仿宋_GB2312" w:hAnsi="仿宋_GB2312" w:eastAsia="仿宋_GB2312" w:cs="仿宋_GB2312"/>
          <w:color w:val="auto"/>
          <w:sz w:val="32"/>
          <w:szCs w:val="32"/>
          <w:highlight w:val="none"/>
          <w:lang w:val="en-US" w:eastAsia="zh-CN"/>
        </w:rPr>
        <w:t>重点</w:t>
      </w:r>
      <w:r>
        <w:rPr>
          <w:rFonts w:hint="eastAsia" w:ascii="仿宋_GB2312" w:hAnsi="仿宋_GB2312" w:eastAsia="仿宋_GB2312" w:cs="仿宋_GB2312"/>
          <w:color w:val="auto"/>
          <w:sz w:val="32"/>
          <w:szCs w:val="32"/>
          <w:highlight w:val="none"/>
        </w:rPr>
        <w:t>院校（对外经济贸易大学、中央财经大学、上海财经大学、西南财经大学、中南财经政法大学）本科及以上毕业生</w:t>
      </w:r>
      <w:bookmarkEnd w:id="0"/>
      <w:r>
        <w:rPr>
          <w:rFonts w:hint="eastAsia" w:ascii="仿宋_GB2312" w:hAnsi="仿宋_GB2312" w:eastAsia="仿宋_GB2312" w:cs="仿宋_GB2312"/>
          <w:color w:val="auto"/>
          <w:sz w:val="32"/>
          <w:szCs w:val="32"/>
          <w:highlight w:val="none"/>
        </w:rPr>
        <w:t>；“QS世界大学排名</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2025</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”前100的境外院校硕士</w:t>
      </w:r>
      <w:r>
        <w:rPr>
          <w:rFonts w:hint="eastAsia" w:ascii="仿宋_GB2312" w:hAnsi="仿宋_GB2312" w:eastAsia="仿宋_GB2312" w:cs="仿宋_GB2312"/>
          <w:color w:val="auto"/>
          <w:sz w:val="32"/>
          <w:szCs w:val="32"/>
          <w:highlight w:val="none"/>
          <w:lang w:val="en-US" w:eastAsia="zh-CN"/>
        </w:rPr>
        <w:t>及以上</w:t>
      </w:r>
      <w:r>
        <w:rPr>
          <w:rFonts w:hint="eastAsia" w:ascii="仿宋_GB2312" w:hAnsi="仿宋_GB2312" w:eastAsia="仿宋_GB2312" w:cs="仿宋_GB2312"/>
          <w:color w:val="auto"/>
          <w:sz w:val="32"/>
          <w:szCs w:val="32"/>
          <w:highlight w:val="none"/>
        </w:rPr>
        <w:t>研究生</w:t>
      </w:r>
      <w:r>
        <w:rPr>
          <w:rFonts w:hint="eastAsia" w:ascii="仿宋_GB2312" w:hAnsi="仿宋_GB2312" w:eastAsia="仿宋_GB2312" w:cs="仿宋_GB2312"/>
          <w:color w:val="auto"/>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专业</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经济学、法学、理学、工学、管理学等学科门类下与银行工作相关专业。</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2.科技定向生岗</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（1）国家一流大学建设高校和一流学科建设高校</w:t>
      </w:r>
      <w:r>
        <w:rPr>
          <w:rFonts w:hint="eastAsia" w:ascii="仿宋_GB2312" w:hAnsi="仿宋_GB2312" w:eastAsia="仿宋_GB2312" w:cs="仿宋_GB2312"/>
          <w:color w:val="auto"/>
          <w:sz w:val="32"/>
          <w:szCs w:val="32"/>
          <w:highlight w:val="none"/>
        </w:rPr>
        <w:t>本科及以上毕业生</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2025年</w:t>
      </w:r>
      <w:r>
        <w:rPr>
          <w:rFonts w:hint="eastAsia" w:ascii="仿宋_GB2312" w:hAnsi="仿宋_GB2312" w:eastAsia="仿宋_GB2312" w:cs="仿宋_GB2312"/>
          <w:color w:val="auto"/>
          <w:sz w:val="32"/>
          <w:szCs w:val="32"/>
          <w:highlight w:val="none"/>
        </w:rPr>
        <w:t>“QS世界大学排名”前100的境外院校</w:t>
      </w:r>
      <w:bookmarkStart w:id="3" w:name="OLE_LINK8"/>
      <w:r>
        <w:rPr>
          <w:rFonts w:hint="eastAsia" w:ascii="仿宋_GB2312" w:hAnsi="仿宋_GB2312" w:eastAsia="仿宋_GB2312" w:cs="仿宋_GB2312"/>
          <w:color w:val="auto"/>
          <w:sz w:val="32"/>
          <w:szCs w:val="32"/>
          <w:highlight w:val="none"/>
        </w:rPr>
        <w:t>硕士</w:t>
      </w:r>
      <w:r>
        <w:rPr>
          <w:rFonts w:hint="eastAsia" w:ascii="仿宋_GB2312" w:hAnsi="仿宋_GB2312" w:eastAsia="仿宋_GB2312" w:cs="仿宋_GB2312"/>
          <w:color w:val="auto"/>
          <w:sz w:val="32"/>
          <w:szCs w:val="32"/>
          <w:highlight w:val="none"/>
          <w:lang w:val="en-US" w:eastAsia="zh-CN"/>
        </w:rPr>
        <w:t>及以上</w:t>
      </w:r>
      <w:r>
        <w:rPr>
          <w:rFonts w:hint="eastAsia" w:ascii="仿宋_GB2312" w:hAnsi="仿宋_GB2312" w:eastAsia="仿宋_GB2312" w:cs="仿宋_GB2312"/>
          <w:color w:val="auto"/>
          <w:sz w:val="32"/>
          <w:szCs w:val="32"/>
          <w:highlight w:val="none"/>
        </w:rPr>
        <w:t>研究生</w:t>
      </w:r>
      <w:bookmarkEnd w:id="3"/>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专业：</w:t>
      </w:r>
      <w:r>
        <w:rPr>
          <w:rFonts w:hint="eastAsia" w:ascii="仿宋_GB2312" w:hAnsi="仿宋_GB2312" w:eastAsia="仿宋_GB2312" w:cs="仿宋_GB2312"/>
          <w:color w:val="auto"/>
          <w:kern w:val="0"/>
          <w:sz w:val="32"/>
          <w:szCs w:val="32"/>
          <w:highlight w:val="none"/>
        </w:rPr>
        <w:t>计算机科学与技术、电子信息工程、电子与计算机工程</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软件工程、网络工程、</w:t>
      </w:r>
      <w:r>
        <w:rPr>
          <w:rFonts w:hint="eastAsia" w:ascii="仿宋_GB2312" w:hAnsi="仿宋_GB2312" w:eastAsia="仿宋_GB2312" w:cs="仿宋_GB2312"/>
          <w:color w:val="auto"/>
          <w:kern w:val="0"/>
          <w:sz w:val="32"/>
          <w:szCs w:val="32"/>
          <w:highlight w:val="none"/>
          <w:lang w:val="en-US" w:eastAsia="zh-CN"/>
        </w:rPr>
        <w:t>通信工程、</w:t>
      </w:r>
      <w:r>
        <w:rPr>
          <w:rFonts w:hint="eastAsia" w:ascii="仿宋_GB2312" w:hAnsi="仿宋_GB2312" w:eastAsia="仿宋_GB2312" w:cs="仿宋_GB2312"/>
          <w:color w:val="auto"/>
          <w:kern w:val="0"/>
          <w:sz w:val="32"/>
          <w:szCs w:val="32"/>
          <w:highlight w:val="none"/>
        </w:rPr>
        <w:t>信息安全、</w:t>
      </w:r>
      <w:r>
        <w:rPr>
          <w:rFonts w:hint="eastAsia" w:ascii="仿宋_GB2312" w:hAnsi="仿宋_GB2312" w:eastAsia="仿宋_GB2312" w:cs="仿宋_GB2312"/>
          <w:color w:val="auto"/>
          <w:kern w:val="0"/>
          <w:sz w:val="32"/>
          <w:szCs w:val="32"/>
          <w:highlight w:val="none"/>
          <w:lang w:val="en-US" w:eastAsia="zh-CN"/>
        </w:rPr>
        <w:t>物联网工程</w:t>
      </w:r>
      <w:r>
        <w:rPr>
          <w:rFonts w:hint="eastAsia" w:ascii="仿宋_GB2312" w:hAnsi="仿宋_GB2312" w:eastAsia="仿宋_GB2312" w:cs="仿宋_GB2312"/>
          <w:color w:val="auto"/>
          <w:kern w:val="0"/>
          <w:sz w:val="32"/>
          <w:szCs w:val="32"/>
          <w:highlight w:val="none"/>
        </w:rPr>
        <w:t>、</w:t>
      </w:r>
      <w:r>
        <w:rPr>
          <w:rFonts w:hint="eastAsia" w:ascii="仿宋_GB2312" w:hAnsi="仿宋_GB2312" w:eastAsia="仿宋_GB2312" w:cs="仿宋_GB2312"/>
          <w:color w:val="auto"/>
          <w:kern w:val="0"/>
          <w:sz w:val="32"/>
          <w:szCs w:val="32"/>
          <w:highlight w:val="none"/>
          <w:lang w:val="en-US" w:eastAsia="zh-CN"/>
        </w:rPr>
        <w:t>数据科学、大数据</w:t>
      </w:r>
      <w:r>
        <w:rPr>
          <w:rFonts w:hint="eastAsia" w:ascii="仿宋_GB2312" w:hAnsi="仿宋_GB2312" w:eastAsia="仿宋_GB2312" w:cs="仿宋_GB2312"/>
          <w:color w:val="auto"/>
          <w:kern w:val="0"/>
          <w:sz w:val="32"/>
          <w:szCs w:val="32"/>
          <w:highlight w:val="none"/>
        </w:rPr>
        <w:t>、人工智能</w:t>
      </w:r>
      <w:r>
        <w:rPr>
          <w:rFonts w:hint="eastAsia" w:ascii="仿宋_GB2312" w:hAnsi="仿宋_GB2312" w:eastAsia="仿宋_GB2312" w:cs="仿宋_GB2312"/>
          <w:color w:val="auto"/>
          <w:kern w:val="0"/>
          <w:sz w:val="32"/>
          <w:szCs w:val="32"/>
          <w:highlight w:val="none"/>
          <w:lang w:val="en-US" w:eastAsia="zh-CN"/>
        </w:rPr>
        <w:t>、</w:t>
      </w:r>
      <w:r>
        <w:rPr>
          <w:rFonts w:hint="eastAsia" w:ascii="仿宋_GB2312" w:hAnsi="仿宋_GB2312" w:eastAsia="仿宋_GB2312" w:cs="仿宋_GB2312"/>
          <w:color w:val="auto"/>
          <w:kern w:val="0"/>
          <w:sz w:val="32"/>
          <w:szCs w:val="32"/>
          <w:highlight w:val="none"/>
          <w:lang w:eastAsia="zh-CN"/>
        </w:rPr>
        <w:t>区块链</w:t>
      </w:r>
      <w:r>
        <w:rPr>
          <w:rFonts w:hint="eastAsia" w:ascii="仿宋_GB2312" w:hAnsi="仿宋_GB2312" w:eastAsia="仿宋_GB2312" w:cs="仿宋_GB2312"/>
          <w:color w:val="auto"/>
          <w:kern w:val="0"/>
          <w:sz w:val="32"/>
          <w:szCs w:val="32"/>
          <w:highlight w:val="none"/>
        </w:rPr>
        <w:t>专业。</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3.分支行业务管理岗</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rPr>
      </w:pPr>
      <w:bookmarkStart w:id="4" w:name="OLE_LINK3"/>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国家一流大学建设高校和一流学科建设高校</w:t>
      </w:r>
      <w:r>
        <w:rPr>
          <w:rFonts w:hint="eastAsia" w:ascii="仿宋_GB2312" w:hAnsi="仿宋_GB2312" w:eastAsia="仿宋_GB2312" w:cs="仿宋_GB2312"/>
          <w:color w:val="auto"/>
          <w:sz w:val="32"/>
          <w:szCs w:val="32"/>
          <w:highlight w:val="none"/>
        </w:rPr>
        <w:t>本科及以上毕业生，或境</w:t>
      </w:r>
      <w:r>
        <w:rPr>
          <w:rFonts w:hint="eastAsia" w:ascii="仿宋_GB2312" w:hAnsi="仿宋_GB2312" w:eastAsia="仿宋_GB2312" w:cs="仿宋_GB2312"/>
          <w:color w:val="auto"/>
          <w:sz w:val="32"/>
          <w:szCs w:val="32"/>
          <w:highlight w:val="none"/>
          <w:lang w:val="en-US" w:eastAsia="zh-CN"/>
        </w:rPr>
        <w:t>内、</w:t>
      </w:r>
      <w:r>
        <w:rPr>
          <w:rFonts w:hint="eastAsia" w:ascii="仿宋_GB2312" w:hAnsi="仿宋_GB2312" w:eastAsia="仿宋_GB2312" w:cs="仿宋_GB2312"/>
          <w:color w:val="auto"/>
          <w:sz w:val="32"/>
          <w:szCs w:val="32"/>
          <w:highlight w:val="none"/>
        </w:rPr>
        <w:t>外院校硕士</w:t>
      </w:r>
      <w:r>
        <w:rPr>
          <w:rFonts w:hint="eastAsia" w:ascii="仿宋_GB2312" w:hAnsi="仿宋_GB2312" w:eastAsia="仿宋_GB2312" w:cs="仿宋_GB2312"/>
          <w:color w:val="auto"/>
          <w:sz w:val="32"/>
          <w:szCs w:val="32"/>
          <w:highlight w:val="none"/>
          <w:lang w:val="en-US" w:eastAsia="zh-CN"/>
        </w:rPr>
        <w:t>及以上</w:t>
      </w:r>
      <w:r>
        <w:rPr>
          <w:rFonts w:hint="eastAsia" w:ascii="仿宋_GB2312" w:hAnsi="仿宋_GB2312" w:eastAsia="仿宋_GB2312" w:cs="仿宋_GB2312"/>
          <w:color w:val="auto"/>
          <w:sz w:val="32"/>
          <w:szCs w:val="32"/>
          <w:highlight w:val="none"/>
        </w:rPr>
        <w:t>研究生。</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专业：</w:t>
      </w:r>
      <w:bookmarkStart w:id="5" w:name="OLE_LINK5"/>
      <w:r>
        <w:rPr>
          <w:rFonts w:hint="eastAsia" w:ascii="仿宋_GB2312" w:hAnsi="仿宋_GB2312" w:eastAsia="仿宋_GB2312" w:cs="仿宋_GB2312"/>
          <w:color w:val="auto"/>
          <w:sz w:val="32"/>
          <w:szCs w:val="32"/>
          <w:highlight w:val="none"/>
          <w:lang w:val="en-US" w:eastAsia="zh-CN"/>
        </w:rPr>
        <w:t>经济学类、财政学类、金融学类、工商管理类、经济与贸易类、农业经济管理类、统计学类、法学、数学、计算机科学与技术、电气工程、土木工程、网络工程、化学工程、软件工程、机械工程、自动化、信息安全、通信工程、汉语言文学、新闻学。</w:t>
      </w:r>
      <w:bookmarkEnd w:id="5"/>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（3）除贵阳城区、成都地区外，报考定向招聘的应聘者入学前户籍须在机构所在地州。例如：报考业务管理岗（湄潭县），应聘者户籍须在遵义地区，不限县域。</w:t>
      </w:r>
    </w:p>
    <w:bookmarkEnd w:id="4"/>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4.分支行前台操作岗</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eastAsia="zh-CN"/>
        </w:rPr>
      </w:pPr>
      <w:bookmarkStart w:id="6" w:name="OLE_LINK7"/>
      <w:r>
        <w:rPr>
          <w:rFonts w:hint="eastAsia" w:ascii="仿宋_GB2312" w:hAnsi="仿宋_GB2312" w:eastAsia="仿宋_GB2312" w:cs="仿宋_GB2312"/>
          <w:color w:val="auto"/>
          <w:sz w:val="32"/>
          <w:szCs w:val="32"/>
          <w:highlight w:val="none"/>
          <w:lang w:val="en-US" w:eastAsia="zh-CN"/>
        </w:rPr>
        <w:t>（1）境内、外</w:t>
      </w:r>
      <w:r>
        <w:rPr>
          <w:rFonts w:hint="eastAsia" w:ascii="仿宋_GB2312" w:hAnsi="仿宋_GB2312" w:eastAsia="仿宋_GB2312" w:cs="仿宋_GB2312"/>
          <w:color w:val="auto"/>
          <w:sz w:val="32"/>
          <w:szCs w:val="32"/>
          <w:highlight w:val="none"/>
        </w:rPr>
        <w:t>普通高等院校统招本科及以上毕业生</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专业：</w:t>
      </w:r>
      <w:bookmarkEnd w:id="6"/>
      <w:r>
        <w:rPr>
          <w:rFonts w:hint="eastAsia" w:ascii="仿宋_GB2312" w:hAnsi="仿宋_GB2312" w:eastAsia="仿宋_GB2312" w:cs="仿宋_GB2312"/>
          <w:color w:val="auto"/>
          <w:sz w:val="32"/>
          <w:szCs w:val="32"/>
          <w:highlight w:val="none"/>
          <w:lang w:val="en-US" w:eastAsia="zh-CN"/>
        </w:rPr>
        <w:t>经济学类、财政学类、金融学类、工商管理类、经济与贸易类、农业经济管理类、统计学类、法学、数学、计算机科学与技术、电气工程、土木工程、网络工程、化学工程、软件工程、机械工程、自动化、信息安全、通信工程、汉语言文学、新闻学。</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（3）除贵阳城区、成都地区外，报考定向招聘的应聘者入学前户籍须在机构所在县域。例如：报考前台操作岗（湄潭县），应聘者须为湄潭户籍，报考前台操作岗（息烽县），应聘者须为息烽户籍。</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right="0" w:firstLine="640" w:firstLineChars="200"/>
        <w:jc w:val="both"/>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凡有下列情况之一者，不得报考：</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1.受过刑事处罚、涉嫌违法违纪正在接受调查或被开除中国共产党党籍的；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2.受到党内严重警告、行政记大过等处分在处分期或影响期内的；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3.曾被开除公职处分或在机关、企事业单位因违反有关法律、法规、纪律规定被勒令辞退的;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4.被依法列为失信联合惩戒对象的；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5.有吸毒史的；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6.在此前国家各级各类招考或贵阳银行及子公司组织的招聘中被认定有舞弊、扰乱报名考试秩序、威胁工作人员人身安全等行为的；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7.此前在贵阳银行及子公司组织的招聘中，被列为不诚信人员，以及进入体检程序或经公示聘用后因个人原因放弃聘用资格的；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8.现役军人、在读非应届毕业生、国家定向招录培养人员、与国家签订服务协议且未满服务期限的；</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9.法律法规规定不得聘用的其他情形。</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三</w:t>
      </w:r>
      <w:r>
        <w:rPr>
          <w:rFonts w:hint="eastAsia" w:ascii="黑体" w:hAnsi="黑体" w:eastAsia="黑体" w:cs="黑体"/>
          <w:color w:val="auto"/>
          <w:sz w:val="32"/>
          <w:szCs w:val="32"/>
          <w:highlight w:val="none"/>
        </w:rPr>
        <w:t>、工作地点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rPr>
        <w:t>（一）贵阳地区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包含贵阳主城区及三县一市（清镇、修文、开阳、息烽）。</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省内地区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包含</w:t>
      </w:r>
      <w:r>
        <w:rPr>
          <w:rFonts w:hint="eastAsia" w:ascii="仿宋_GB2312" w:hAnsi="仿宋_GB2312" w:eastAsia="仿宋_GB2312" w:cs="仿宋_GB2312"/>
          <w:color w:val="auto"/>
          <w:sz w:val="32"/>
          <w:szCs w:val="32"/>
          <w:highlight w:val="none"/>
        </w:rPr>
        <w:t>遵义、毕节、六盘水、安顺、铜仁、黔南、黔东南、黔西南。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（三）成都地区：包含成都主城区及新都、都江堰、新津、龙泉驿。</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四、培养机制</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（一）“爽新”系列培训项目</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1.“爽新”总行集训营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帮助新员工认可本行企业文化和价值理念，提升职业素养，了解本行相关业务知识，培养团队凝聚力与创新意识，发掘并储备优秀人才。</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2.“爽新”分支行集训营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提升新员工对分支行的认知，了解分支行组织架构、特色业务，掌握岗位基本要求，使新员工更快进入“角色”，增强员工归属感。</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3.“爽新”试用期网点实践</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网点导师辅导，进一步适应职场环境，掌握网点从业基础技能。</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（二）轮岗及定向培养</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管培生</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科技定向生</w:t>
      </w:r>
      <w:r>
        <w:rPr>
          <w:rFonts w:hint="eastAsia" w:ascii="仿宋_GB2312" w:hAnsi="仿宋_GB2312" w:eastAsia="仿宋_GB2312" w:cs="仿宋_GB2312"/>
          <w:color w:val="auto"/>
          <w:sz w:val="32"/>
          <w:szCs w:val="32"/>
          <w:highlight w:val="none"/>
        </w:rPr>
        <w:t>分别在分支行及总行实行多岗位轮岗培养，</w:t>
      </w:r>
      <w:r>
        <w:rPr>
          <w:rFonts w:hint="eastAsia" w:ascii="仿宋_GB2312" w:hAnsi="仿宋_GB2312" w:eastAsia="仿宋_GB2312" w:cs="仿宋_GB2312"/>
          <w:color w:val="auto"/>
          <w:sz w:val="32"/>
          <w:szCs w:val="32"/>
          <w:highlight w:val="none"/>
          <w:lang w:val="en-US" w:eastAsia="zh-CN"/>
        </w:rPr>
        <w:t>管培生在分支行轮岗时间2年，根据考核结果，</w:t>
      </w:r>
      <w:r>
        <w:rPr>
          <w:rFonts w:hint="eastAsia" w:ascii="仿宋_GB2312" w:hAnsi="仿宋_GB2312" w:eastAsia="仿宋_GB2312" w:cs="仿宋_GB2312"/>
          <w:color w:val="auto"/>
          <w:sz w:val="32"/>
          <w:szCs w:val="32"/>
          <w:highlight w:val="none"/>
        </w:rPr>
        <w:t>以“双向选择”的形式定岗</w:t>
      </w:r>
      <w:r>
        <w:rPr>
          <w:rFonts w:hint="eastAsia" w:ascii="仿宋_GB2312" w:hAnsi="仿宋_GB2312" w:eastAsia="仿宋_GB2312" w:cs="仿宋_GB2312"/>
          <w:color w:val="auto"/>
          <w:sz w:val="32"/>
          <w:szCs w:val="32"/>
          <w:highlight w:val="none"/>
          <w:lang w:val="en-US" w:eastAsia="zh-CN"/>
        </w:rPr>
        <w:t>至</w:t>
      </w:r>
      <w:bookmarkStart w:id="7" w:name="OLE_LINK1"/>
      <w:r>
        <w:rPr>
          <w:rFonts w:hint="eastAsia" w:ascii="仿宋_GB2312" w:hAnsi="仿宋_GB2312" w:eastAsia="仿宋_GB2312" w:cs="仿宋_GB2312"/>
          <w:color w:val="auto"/>
          <w:sz w:val="32"/>
          <w:szCs w:val="32"/>
          <w:highlight w:val="none"/>
          <w:lang w:val="en-US" w:eastAsia="zh-CN"/>
        </w:rPr>
        <w:t>总行或分支行</w:t>
      </w:r>
      <w:bookmarkEnd w:id="7"/>
      <w:r>
        <w:rPr>
          <w:rFonts w:hint="eastAsia" w:ascii="仿宋_GB2312" w:hAnsi="仿宋_GB2312" w:eastAsia="仿宋_GB2312" w:cs="仿宋_GB2312"/>
          <w:color w:val="auto"/>
          <w:sz w:val="32"/>
          <w:szCs w:val="32"/>
          <w:highlight w:val="none"/>
          <w:lang w:val="en-US" w:eastAsia="zh-CN"/>
        </w:rPr>
        <w:t>。科技定向生在分支行轮岗时间为半年，根据考核结果，</w:t>
      </w:r>
      <w:r>
        <w:rPr>
          <w:rFonts w:hint="eastAsia" w:ascii="仿宋_GB2312" w:hAnsi="仿宋_GB2312" w:eastAsia="仿宋_GB2312" w:cs="仿宋_GB2312"/>
          <w:color w:val="auto"/>
          <w:sz w:val="32"/>
          <w:szCs w:val="32"/>
          <w:highlight w:val="none"/>
        </w:rPr>
        <w:t>以“双向选择”的形式定岗</w:t>
      </w:r>
      <w:r>
        <w:rPr>
          <w:rFonts w:hint="eastAsia" w:ascii="仿宋_GB2312" w:hAnsi="仿宋_GB2312" w:eastAsia="仿宋_GB2312" w:cs="仿宋_GB2312"/>
          <w:color w:val="auto"/>
          <w:sz w:val="32"/>
          <w:szCs w:val="32"/>
          <w:highlight w:val="none"/>
          <w:lang w:val="en-US" w:eastAsia="zh-CN"/>
        </w:rPr>
        <w:t>至总行信息科技或其他业务条线。</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业务管理岗人员原则上须在前台</w:t>
      </w:r>
      <w:r>
        <w:rPr>
          <w:rFonts w:hint="eastAsia" w:ascii="仿宋_GB2312" w:hAnsi="仿宋_GB2312" w:eastAsia="仿宋_GB2312" w:cs="仿宋_GB2312"/>
          <w:color w:val="auto"/>
          <w:sz w:val="32"/>
          <w:szCs w:val="32"/>
          <w:highlight w:val="none"/>
          <w:lang w:val="en-US" w:eastAsia="zh-CN"/>
        </w:rPr>
        <w:t>网点</w:t>
      </w:r>
      <w:r>
        <w:rPr>
          <w:rFonts w:hint="eastAsia" w:ascii="仿宋_GB2312" w:hAnsi="仿宋_GB2312" w:eastAsia="仿宋_GB2312" w:cs="仿宋_GB2312"/>
          <w:color w:val="auto"/>
          <w:sz w:val="32"/>
          <w:szCs w:val="32"/>
          <w:highlight w:val="none"/>
        </w:rPr>
        <w:t>岗位工作</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年，根据个人工作表现及分支行内设部门需求进行岗位调整。</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jc w:val="both"/>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3.报考定向岗位的应聘者须在定向机构工作至少3年。</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（三）职业生涯发展</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贵阳银行为员工设计了完善的职业晋升路径，搭建管理+专业的职业发展“双通道”，畅通管理序列和专业序列转化机制，帮助员工实现职业路径的可持续发展。</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五、福利待遇</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kern w:val="2"/>
          <w:sz w:val="32"/>
          <w:szCs w:val="32"/>
          <w:highlight w:val="none"/>
          <w:lang w:val="en-US" w:eastAsia="zh-CN" w:bidi="ar-SA"/>
        </w:rPr>
        <w:t>五险一金、企业年金、补充医疗、工会福利、带薪年假、就餐补贴。</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六</w:t>
      </w:r>
      <w:r>
        <w:rPr>
          <w:rFonts w:hint="eastAsia" w:ascii="黑体" w:hAnsi="黑体" w:eastAsia="黑体" w:cs="黑体"/>
          <w:color w:val="auto"/>
          <w:sz w:val="32"/>
          <w:szCs w:val="32"/>
          <w:highlight w:val="none"/>
        </w:rPr>
        <w:t>、招聘流程</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网上报名——</w:t>
      </w:r>
      <w:r>
        <w:rPr>
          <w:rFonts w:hint="eastAsia" w:ascii="仿宋_GB2312" w:hAnsi="仿宋_GB2312" w:eastAsia="仿宋_GB2312" w:cs="仿宋_GB2312"/>
          <w:color w:val="auto"/>
          <w:sz w:val="32"/>
          <w:szCs w:val="32"/>
          <w:highlight w:val="none"/>
          <w:lang w:val="en-US" w:eastAsia="zh-CN"/>
        </w:rPr>
        <w:t>简历筛选——</w:t>
      </w:r>
      <w:r>
        <w:rPr>
          <w:rFonts w:hint="eastAsia" w:ascii="仿宋_GB2312" w:hAnsi="仿宋_GB2312" w:eastAsia="仿宋_GB2312" w:cs="仿宋_GB2312"/>
          <w:color w:val="auto"/>
          <w:sz w:val="32"/>
          <w:szCs w:val="32"/>
          <w:highlight w:val="none"/>
        </w:rPr>
        <w:t>笔试——</w:t>
      </w:r>
      <w:r>
        <w:rPr>
          <w:rFonts w:hint="eastAsia" w:ascii="仿宋_GB2312" w:hAnsi="仿宋_GB2312" w:eastAsia="仿宋_GB2312" w:cs="仿宋_GB2312"/>
          <w:color w:val="auto"/>
          <w:sz w:val="32"/>
          <w:szCs w:val="32"/>
          <w:highlight w:val="none"/>
          <w:lang w:val="en-US" w:eastAsia="zh-CN"/>
        </w:rPr>
        <w:t>面试</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背调</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体检</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公示</w:t>
      </w:r>
      <w:r>
        <w:rPr>
          <w:rFonts w:hint="eastAsia" w:ascii="仿宋_GB2312" w:hAnsi="仿宋_GB2312" w:eastAsia="仿宋_GB2312" w:cs="仿宋_GB2312"/>
          <w:color w:val="auto"/>
          <w:sz w:val="32"/>
          <w:szCs w:val="32"/>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网上报名</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请应聘者登录</w:t>
      </w:r>
      <w:r>
        <w:rPr>
          <w:rFonts w:hint="eastAsia" w:ascii="仿宋_GB2312" w:hAnsi="仿宋_GB2312" w:eastAsia="仿宋_GB2312" w:cs="仿宋_GB2312"/>
          <w:color w:val="auto"/>
          <w:sz w:val="32"/>
          <w:szCs w:val="32"/>
          <w:highlight w:val="none"/>
          <w:lang w:val="en-US" w:eastAsia="zh-CN"/>
        </w:rPr>
        <w:t>报名网站</w:t>
      </w:r>
      <w:r>
        <w:rPr>
          <w:rFonts w:hint="eastAsia" w:ascii="仿宋_GB2312" w:hAnsi="仿宋_GB2312" w:eastAsia="仿宋_GB2312" w:cs="仿宋_GB2312"/>
          <w:color w:val="auto"/>
          <w:sz w:val="32"/>
          <w:szCs w:val="32"/>
          <w:highlight w:val="none"/>
        </w:rPr>
        <w:t>（网址：</w:t>
      </w:r>
      <w:bookmarkStart w:id="8" w:name="OLE_LINK10"/>
      <w:r>
        <w:rPr>
          <w:rFonts w:hint="eastAsia" w:ascii="仿宋_GB2312" w:hAnsi="仿宋_GB2312" w:eastAsia="仿宋_GB2312" w:cs="仿宋_GB2312"/>
          <w:color w:val="auto"/>
          <w:sz w:val="32"/>
          <w:szCs w:val="32"/>
          <w:highlight w:val="none"/>
          <w:lang w:val="en-US" w:eastAsia="zh-CN"/>
        </w:rPr>
        <w:t>http://ideal.51job.com/gyyh2025</w:t>
      </w:r>
      <w:bookmarkEnd w:id="8"/>
      <w:r>
        <w:rPr>
          <w:rFonts w:hint="eastAsia" w:ascii="仿宋_GB2312" w:hAnsi="仿宋_GB2312" w:eastAsia="仿宋_GB2312" w:cs="仿宋_GB2312"/>
          <w:color w:val="auto"/>
          <w:sz w:val="32"/>
          <w:szCs w:val="32"/>
          <w:highlight w:val="none"/>
          <w:lang w:val="en-US" w:eastAsia="zh-CN"/>
        </w:rPr>
        <w:t>，报名时间开始后系统入口正式开放</w:t>
      </w:r>
      <w:r>
        <w:rPr>
          <w:rFonts w:hint="eastAsia" w:ascii="仿宋_GB2312" w:hAnsi="仿宋_GB2312" w:eastAsia="仿宋_GB2312" w:cs="仿宋_GB2312"/>
          <w:color w:val="auto"/>
          <w:sz w:val="32"/>
          <w:szCs w:val="32"/>
          <w:highlight w:val="none"/>
        </w:rPr>
        <w:t>）进行注册、报名，在线填写个人简历，完成职位申请。</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报名时需上传证件扫描件：</w:t>
      </w:r>
      <w:r>
        <w:rPr>
          <w:rFonts w:hint="eastAsia" w:ascii="仿宋_GB2312" w:hAnsi="仿宋_GB2312" w:eastAsia="仿宋_GB2312" w:cs="仿宋_GB2312"/>
          <w:b w:val="0"/>
          <w:bCs w:val="0"/>
          <w:color w:val="auto"/>
          <w:sz w:val="32"/>
          <w:szCs w:val="32"/>
          <w:highlight w:val="none"/>
        </w:rPr>
        <w:t>身份证</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毕业证</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学位证</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25届提供学籍在线验证报告</w:t>
      </w:r>
      <w:r>
        <w:rPr>
          <w:rFonts w:hint="eastAsia" w:ascii="仿宋_GB2312" w:hAnsi="仿宋_GB2312" w:eastAsia="仿宋_GB2312" w:cs="仿宋_GB2312"/>
          <w:b w:val="0"/>
          <w:bCs w:val="0"/>
          <w:color w:val="auto"/>
          <w:sz w:val="32"/>
          <w:szCs w:val="32"/>
          <w:highlight w:val="none"/>
          <w:lang w:val="en-US" w:eastAsia="zh-CN"/>
        </w:rPr>
        <w:t>或</w:t>
      </w:r>
      <w:r>
        <w:rPr>
          <w:rFonts w:hint="eastAsia" w:ascii="仿宋_GB2312" w:hAnsi="仿宋_GB2312" w:eastAsia="仿宋_GB2312" w:cs="仿宋_GB2312"/>
          <w:b w:val="0"/>
          <w:bCs w:val="0"/>
          <w:color w:val="auto"/>
          <w:sz w:val="32"/>
          <w:szCs w:val="32"/>
          <w:highlight w:val="none"/>
        </w:rPr>
        <w:t>就业推荐表</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24届提供学历证书电子注册备案表</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境外院校毕业生须提供教育部留学服务中心出具的国外学历学位认证书</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获奖证书、荣誉证书</w:t>
      </w:r>
      <w:r>
        <w:rPr>
          <w:rFonts w:hint="eastAsia" w:ascii="仿宋_GB2312" w:hAnsi="仿宋_GB2312" w:eastAsia="仿宋_GB2312" w:cs="仿宋_GB2312"/>
          <w:b w:val="0"/>
          <w:bCs w:val="0"/>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报名时间</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管培生、科技定向生、分支行业务管理岗位：202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14</w:t>
      </w:r>
      <w:r>
        <w:rPr>
          <w:rFonts w:hint="eastAsia" w:ascii="仿宋_GB2312" w:hAnsi="仿宋_GB2312" w:eastAsia="仿宋_GB2312" w:cs="仿宋_GB2312"/>
          <w:color w:val="auto"/>
          <w:sz w:val="32"/>
          <w:szCs w:val="32"/>
          <w:highlight w:val="none"/>
        </w:rPr>
        <w:t>日上午9:00——202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16</w:t>
      </w:r>
      <w:r>
        <w:rPr>
          <w:rFonts w:hint="eastAsia" w:ascii="仿宋_GB2312" w:hAnsi="仿宋_GB2312" w:eastAsia="仿宋_GB2312" w:cs="仿宋_GB2312"/>
          <w:color w:val="auto"/>
          <w:sz w:val="32"/>
          <w:szCs w:val="32"/>
          <w:highlight w:val="none"/>
        </w:rPr>
        <w:t>日下午1</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:00</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分支行前台操作岗位：202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14</w:t>
      </w:r>
      <w:r>
        <w:rPr>
          <w:rFonts w:hint="eastAsia" w:ascii="仿宋_GB2312" w:hAnsi="仿宋_GB2312" w:eastAsia="仿宋_GB2312" w:cs="仿宋_GB2312"/>
          <w:color w:val="auto"/>
          <w:sz w:val="32"/>
          <w:szCs w:val="32"/>
          <w:highlight w:val="none"/>
        </w:rPr>
        <w:t>日上午9:00——202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16</w:t>
      </w:r>
      <w:r>
        <w:rPr>
          <w:rFonts w:hint="eastAsia" w:ascii="仿宋_GB2312" w:hAnsi="仿宋_GB2312" w:eastAsia="仿宋_GB2312" w:cs="仿宋_GB2312"/>
          <w:color w:val="auto"/>
          <w:sz w:val="32"/>
          <w:szCs w:val="32"/>
          <w:highlight w:val="none"/>
        </w:rPr>
        <w:t>日下午1</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:00，按网上投档申请时间先后顺序进行资格审核，审核符合条件人数达到我行各区域岗位招聘人数的1:10比例，截止审核。</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简历筛选。</w:t>
      </w:r>
      <w:r>
        <w:rPr>
          <w:rFonts w:hint="eastAsia" w:ascii="仿宋_GB2312" w:hAnsi="仿宋_GB2312" w:eastAsia="仿宋_GB2312" w:cs="仿宋_GB2312"/>
          <w:i w:val="0"/>
          <w:iCs w:val="0"/>
          <w:caps w:val="0"/>
          <w:color w:val="auto"/>
          <w:spacing w:val="0"/>
          <w:sz w:val="32"/>
          <w:szCs w:val="32"/>
          <w:highlight w:val="none"/>
          <w:shd w:val="clear" w:fill="FFFFFF"/>
        </w:rPr>
        <w:t>根据各岗位资格条件，对</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应聘者</w:t>
      </w:r>
      <w:r>
        <w:rPr>
          <w:rFonts w:hint="eastAsia" w:ascii="仿宋_GB2312" w:hAnsi="仿宋_GB2312" w:eastAsia="仿宋_GB2312" w:cs="仿宋_GB2312"/>
          <w:i w:val="0"/>
          <w:iCs w:val="0"/>
          <w:caps w:val="0"/>
          <w:color w:val="auto"/>
          <w:spacing w:val="0"/>
          <w:sz w:val="32"/>
          <w:szCs w:val="32"/>
          <w:highlight w:val="none"/>
          <w:shd w:val="clear" w:fill="FFFFFF"/>
        </w:rPr>
        <w:t>进行资格</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初审</w:t>
      </w:r>
      <w:r>
        <w:rPr>
          <w:rFonts w:hint="eastAsia" w:ascii="仿宋_GB2312" w:hAnsi="仿宋_GB2312" w:eastAsia="仿宋_GB2312" w:cs="仿宋_GB2312"/>
          <w:i w:val="0"/>
          <w:iCs w:val="0"/>
          <w:caps w:val="0"/>
          <w:color w:val="auto"/>
          <w:spacing w:val="0"/>
          <w:sz w:val="32"/>
          <w:szCs w:val="32"/>
          <w:highlight w:val="none"/>
          <w:shd w:val="clear" w:fill="FFFFFF"/>
        </w:rPr>
        <w:t>，择优确定入围笔试人选。因填报失误、上传资料不清晰、不齐全、虚假资料等原因所造成的后果，由应聘者本人承担。</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（三）笔试。考查内容为行政职业能力测验、经济金融知识，科技定向生岗须考察计算机相关知识。</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（四）面试。根据笔试成绩从高到低排序，按照岗位招聘计划人数与面试人数1:3的比例确定面试人选，同一岗位应聘者笔试成绩末位并列的同时进入面试环节。</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（五）确定体检、背调人选。按照笔试成绩40%+面试成绩60%比例计算综合成绩，根据综合成绩从高到低排序确定进入体检、背调人选。  </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（六）背调。对应聘者个人身份、学历学位、社会信用、有无犯罪记录等进行审查。</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（七）体检。由我行统一组织体检，体检结果需符合最新国家公务员体检相关标准。</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（八）公示。在贵阳银行官网对拟录用人员进行公示，公示期为5个工作日。</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both"/>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六</w:t>
      </w:r>
      <w:r>
        <w:rPr>
          <w:rFonts w:hint="eastAsia" w:ascii="黑体" w:hAnsi="黑体" w:eastAsia="黑体" w:cs="黑体"/>
          <w:color w:val="auto"/>
          <w:sz w:val="32"/>
          <w:szCs w:val="32"/>
          <w:highlight w:val="none"/>
        </w:rPr>
        <w:t>、报名注意事项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（一）应聘者只能报考一个岗位</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简历投递后，将无法修改已应聘岗位，投递前</w:t>
      </w:r>
      <w:r>
        <w:rPr>
          <w:rFonts w:hint="eastAsia" w:ascii="仿宋_GB2312" w:hAnsi="仿宋_GB2312" w:eastAsia="仿宋_GB2312" w:cs="仿宋_GB2312"/>
          <w:color w:val="auto"/>
          <w:sz w:val="32"/>
          <w:szCs w:val="32"/>
          <w:highlight w:val="none"/>
          <w:lang w:val="en-US" w:eastAsia="zh-CN"/>
        </w:rPr>
        <w:t>请</w:t>
      </w:r>
      <w:r>
        <w:rPr>
          <w:rFonts w:hint="eastAsia" w:ascii="仿宋_GB2312" w:hAnsi="仿宋_GB2312" w:eastAsia="仿宋_GB2312" w:cs="仿宋_GB2312"/>
          <w:color w:val="auto"/>
          <w:sz w:val="32"/>
          <w:szCs w:val="32"/>
          <w:highlight w:val="none"/>
        </w:rPr>
        <w:t>注意区分工作地点和招聘岗位，务必谨慎操作。</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应聘者</w:t>
      </w:r>
      <w:r>
        <w:rPr>
          <w:rFonts w:hint="eastAsia" w:ascii="仿宋_GB2312" w:hAnsi="仿宋_GB2312" w:eastAsia="仿宋_GB2312" w:cs="仿宋_GB2312"/>
          <w:color w:val="auto"/>
          <w:sz w:val="32"/>
          <w:szCs w:val="32"/>
          <w:highlight w:val="none"/>
          <w:lang w:val="en-US" w:eastAsia="zh-CN"/>
        </w:rPr>
        <w:t>应符合贵阳银行</w:t>
      </w:r>
      <w:r>
        <w:rPr>
          <w:rFonts w:hint="eastAsia" w:ascii="仿宋_GB2312" w:hAnsi="仿宋_GB2312" w:eastAsia="仿宋_GB2312" w:cs="仿宋_GB2312"/>
          <w:b w:val="0"/>
          <w:bCs w:val="0"/>
          <w:color w:val="auto"/>
          <w:sz w:val="32"/>
          <w:szCs w:val="32"/>
          <w:highlight w:val="none"/>
        </w:rPr>
        <w:t>亲属回避</w:t>
      </w:r>
      <w:r>
        <w:rPr>
          <w:rFonts w:hint="eastAsia" w:ascii="仿宋_GB2312" w:hAnsi="仿宋_GB2312" w:eastAsia="仿宋_GB2312" w:cs="仿宋_GB2312"/>
          <w:b w:val="0"/>
          <w:bCs w:val="0"/>
          <w:color w:val="auto"/>
          <w:sz w:val="32"/>
          <w:szCs w:val="32"/>
          <w:highlight w:val="none"/>
          <w:lang w:val="en-US" w:eastAsia="zh-CN"/>
        </w:rPr>
        <w:t>相关</w:t>
      </w:r>
      <w:r>
        <w:rPr>
          <w:rFonts w:hint="eastAsia" w:ascii="仿宋_GB2312" w:hAnsi="仿宋_GB2312" w:eastAsia="仿宋_GB2312" w:cs="仿宋_GB2312"/>
          <w:b w:val="0"/>
          <w:bCs w:val="0"/>
          <w:color w:val="auto"/>
          <w:sz w:val="32"/>
          <w:szCs w:val="32"/>
          <w:highlight w:val="none"/>
        </w:rPr>
        <w:t>规定</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即</w:t>
      </w:r>
      <w:r>
        <w:rPr>
          <w:rFonts w:hint="eastAsia" w:ascii="仿宋_GB2312" w:hAnsi="仿宋_GB2312" w:eastAsia="仿宋_GB2312" w:cs="仿宋_GB2312"/>
          <w:color w:val="auto"/>
          <w:sz w:val="32"/>
          <w:szCs w:val="32"/>
          <w:highlight w:val="none"/>
          <w:lang w:val="en-US" w:eastAsia="zh-CN"/>
        </w:rPr>
        <w:t>不存在</w:t>
      </w:r>
      <w:r>
        <w:rPr>
          <w:rFonts w:hint="eastAsia" w:ascii="仿宋_GB2312" w:hAnsi="仿宋_GB2312" w:eastAsia="仿宋_GB2312" w:cs="仿宋_GB2312"/>
          <w:color w:val="auto"/>
          <w:sz w:val="32"/>
          <w:szCs w:val="32"/>
          <w:highlight w:val="none"/>
        </w:rPr>
        <w:t>配偶、直系血亲、三代以内旁系血亲、近姻亲等亲属在贵阳银行</w:t>
      </w:r>
      <w:r>
        <w:rPr>
          <w:rFonts w:hint="eastAsia" w:ascii="仿宋_GB2312" w:hAnsi="仿宋_GB2312" w:eastAsia="仿宋_GB2312" w:cs="仿宋_GB2312"/>
          <w:color w:val="auto"/>
          <w:sz w:val="32"/>
          <w:szCs w:val="32"/>
          <w:highlight w:val="none"/>
          <w:lang w:val="en-US" w:eastAsia="zh-CN"/>
        </w:rPr>
        <w:t>及其子公司、参股村镇银行（</w:t>
      </w:r>
      <w:bookmarkStart w:id="9" w:name="OLE_LINK6"/>
      <w:r>
        <w:rPr>
          <w:rFonts w:hint="eastAsia" w:ascii="仿宋_GB2312" w:hAnsi="仿宋_GB2312" w:eastAsia="仿宋_GB2312" w:cs="仿宋_GB2312"/>
          <w:color w:val="auto"/>
          <w:sz w:val="32"/>
          <w:szCs w:val="32"/>
          <w:highlight w:val="none"/>
          <w:lang w:val="en-US" w:eastAsia="zh-CN"/>
        </w:rPr>
        <w:t>贵阳贵银金融租赁有限责任公司、广元市贵商村镇银行、贵阳花溪建设村镇银行、息烽发展村镇银行</w:t>
      </w:r>
      <w:bookmarkEnd w:id="9"/>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工作的情况</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注:直系血亲包括祖父母、外祖父母、父母、子女、孙子女、外孙子女及无血缘关系，但由法律确认其具有与自然血亲同等的权利、义务的亲属，如养父母与养子女、继父母与继子女；三代以内旁系血亲包括伯叔姑舅姨、兄弟姐妹、堂兄弟姐妹、表兄弟姐妹、侄子女、甥子女；近姻亲包括配偶的父母、配偶的兄弟姐妹及其配偶、子女的配偶及子女配偶的父母、三代以内旁系血亲的配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三）资格审核工作贯穿招聘全程，应聘者存在作弊、替考、伪造资料或其他欺骗行为的，一经查实，我行有权终止其应聘流程或取消录用资格。</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四</w:t>
      </w:r>
      <w:r>
        <w:rPr>
          <w:rFonts w:hint="eastAsia" w:ascii="仿宋_GB2312" w:hAnsi="仿宋_GB2312" w:eastAsia="仿宋_GB2312" w:cs="仿宋_GB2312"/>
          <w:color w:val="auto"/>
          <w:sz w:val="32"/>
          <w:szCs w:val="32"/>
          <w:highlight w:val="none"/>
        </w:rPr>
        <w:t>）笔试</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面试等后续工作安排另行通知，请确保您的联系方式准确无误并保持通讯畅通。</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五</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应聘者</w:t>
      </w:r>
      <w:r>
        <w:rPr>
          <w:rFonts w:hint="eastAsia" w:ascii="仿宋_GB2312" w:hAnsi="仿宋_GB2312" w:eastAsia="仿宋_GB2312" w:cs="仿宋_GB2312"/>
          <w:color w:val="auto"/>
          <w:sz w:val="32"/>
          <w:szCs w:val="32"/>
          <w:highlight w:val="none"/>
        </w:rPr>
        <w:t>录用后，与贵阳银行签订正式劳动合同，实行6个月试用期，试用期满考核合格后转为正式员工。</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六</w:t>
      </w:r>
      <w:r>
        <w:rPr>
          <w:rFonts w:hint="eastAsia" w:ascii="仿宋_GB2312" w:hAnsi="仿宋_GB2312" w:eastAsia="仿宋_GB2312" w:cs="仿宋_GB2312"/>
          <w:color w:val="auto"/>
          <w:sz w:val="32"/>
          <w:szCs w:val="32"/>
          <w:highlight w:val="none"/>
        </w:rPr>
        <w:t>）此次招聘不指定考试辅导用书，不举办也不委托任何机构举办考试辅导培训班</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不收取任何相关费用，请广大应聘者提高警惕，谨防受骗。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七</w:t>
      </w:r>
      <w:r>
        <w:rPr>
          <w:rFonts w:hint="eastAsia" w:ascii="仿宋_GB2312" w:hAnsi="仿宋_GB2312" w:eastAsia="仿宋_GB2312" w:cs="仿宋_GB2312"/>
          <w:color w:val="auto"/>
          <w:sz w:val="32"/>
          <w:szCs w:val="32"/>
          <w:highlight w:val="none"/>
          <w:lang w:eastAsia="zh-CN"/>
        </w:rPr>
        <w:t>）此次招聘以贵阳银行官网及我行授权报名网站发布信息为准，贵阳银行享有最终解释权。</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八</w:t>
      </w:r>
      <w:r>
        <w:rPr>
          <w:rFonts w:hint="eastAsia" w:ascii="仿宋_GB2312" w:hAnsi="仿宋_GB2312" w:eastAsia="仿宋_GB2312" w:cs="仿宋_GB2312"/>
          <w:color w:val="auto"/>
          <w:sz w:val="32"/>
          <w:szCs w:val="32"/>
          <w:highlight w:val="none"/>
        </w:rPr>
        <w:t>）联系方式：</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网上报名技术咨询热线</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0871-68010700转691或844</w:t>
      </w:r>
      <w:r>
        <w:rPr>
          <w:rFonts w:hint="eastAsia" w:ascii="仿宋_GB2312" w:hAnsi="仿宋_GB2312" w:eastAsia="仿宋_GB2312" w:cs="仿宋_GB2312"/>
          <w:color w:val="auto"/>
          <w:sz w:val="32"/>
          <w:szCs w:val="32"/>
          <w:highlight w:val="none"/>
        </w:rPr>
        <w:t>（9:00-12:00</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14:</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0-17:30）</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40" w:lineRule="exact"/>
        <w:ind w:firstLine="4800" w:firstLineChars="15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贵阳银行股份有限公司</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82F65F"/>
    <w:multiLevelType w:val="singleLevel"/>
    <w:tmpl w:val="8482F65F"/>
    <w:lvl w:ilvl="0" w:tentative="0">
      <w:start w:val="1"/>
      <w:numFmt w:val="chineseCounting"/>
      <w:suff w:val="nothing"/>
      <w:lvlText w:val="（%1）"/>
      <w:lvlJc w:val="left"/>
      <w:rPr>
        <w:rFonts w:hint="eastAsia"/>
      </w:rPr>
    </w:lvl>
  </w:abstractNum>
  <w:abstractNum w:abstractNumId="1">
    <w:nsid w:val="3A7E9012"/>
    <w:multiLevelType w:val="singleLevel"/>
    <w:tmpl w:val="3A7E9012"/>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D1076"/>
    <w:rsid w:val="012C32B7"/>
    <w:rsid w:val="024C07E7"/>
    <w:rsid w:val="0361474D"/>
    <w:rsid w:val="03E251F7"/>
    <w:rsid w:val="05355134"/>
    <w:rsid w:val="05E049CE"/>
    <w:rsid w:val="05E22995"/>
    <w:rsid w:val="068C6239"/>
    <w:rsid w:val="06E65A9E"/>
    <w:rsid w:val="076246F0"/>
    <w:rsid w:val="081168CA"/>
    <w:rsid w:val="086E6886"/>
    <w:rsid w:val="08D020B0"/>
    <w:rsid w:val="09166FD5"/>
    <w:rsid w:val="091811D6"/>
    <w:rsid w:val="094A184D"/>
    <w:rsid w:val="099E0E9A"/>
    <w:rsid w:val="09FC3B59"/>
    <w:rsid w:val="0AF16CE4"/>
    <w:rsid w:val="0B0625C7"/>
    <w:rsid w:val="0B742243"/>
    <w:rsid w:val="0B987D72"/>
    <w:rsid w:val="0C427589"/>
    <w:rsid w:val="0DA87820"/>
    <w:rsid w:val="0DDD505E"/>
    <w:rsid w:val="0DE70C63"/>
    <w:rsid w:val="0DFA6B28"/>
    <w:rsid w:val="0EB96CF7"/>
    <w:rsid w:val="0F351452"/>
    <w:rsid w:val="0FD276C2"/>
    <w:rsid w:val="10827C70"/>
    <w:rsid w:val="10AF1665"/>
    <w:rsid w:val="134C54ED"/>
    <w:rsid w:val="135302AC"/>
    <w:rsid w:val="13C33AC5"/>
    <w:rsid w:val="13FF0102"/>
    <w:rsid w:val="14C91C48"/>
    <w:rsid w:val="15053686"/>
    <w:rsid w:val="15301CBD"/>
    <w:rsid w:val="155A4EAD"/>
    <w:rsid w:val="15BF167C"/>
    <w:rsid w:val="15F84119"/>
    <w:rsid w:val="16A512D9"/>
    <w:rsid w:val="16A9516A"/>
    <w:rsid w:val="16AF219F"/>
    <w:rsid w:val="1737773E"/>
    <w:rsid w:val="182546CB"/>
    <w:rsid w:val="1847791C"/>
    <w:rsid w:val="18690B22"/>
    <w:rsid w:val="187A1FC6"/>
    <w:rsid w:val="18F9272D"/>
    <w:rsid w:val="195900B3"/>
    <w:rsid w:val="1A161873"/>
    <w:rsid w:val="1A547798"/>
    <w:rsid w:val="1AB907A7"/>
    <w:rsid w:val="1B3A1808"/>
    <w:rsid w:val="1B5D1D4C"/>
    <w:rsid w:val="1C414E53"/>
    <w:rsid w:val="1D131B53"/>
    <w:rsid w:val="1E1638D8"/>
    <w:rsid w:val="1E3E1929"/>
    <w:rsid w:val="1E6660F0"/>
    <w:rsid w:val="1EAD186B"/>
    <w:rsid w:val="205931CD"/>
    <w:rsid w:val="20724425"/>
    <w:rsid w:val="20A3149C"/>
    <w:rsid w:val="219B220C"/>
    <w:rsid w:val="21C37AE2"/>
    <w:rsid w:val="226B65F4"/>
    <w:rsid w:val="22CE472E"/>
    <w:rsid w:val="22ED6DA5"/>
    <w:rsid w:val="23003B42"/>
    <w:rsid w:val="23304B09"/>
    <w:rsid w:val="2342648A"/>
    <w:rsid w:val="23EE5AE9"/>
    <w:rsid w:val="23F162BF"/>
    <w:rsid w:val="24130524"/>
    <w:rsid w:val="244B257C"/>
    <w:rsid w:val="2467464B"/>
    <w:rsid w:val="24A35033"/>
    <w:rsid w:val="24A37935"/>
    <w:rsid w:val="24A81D43"/>
    <w:rsid w:val="25161F20"/>
    <w:rsid w:val="25495381"/>
    <w:rsid w:val="25655F47"/>
    <w:rsid w:val="258972C4"/>
    <w:rsid w:val="25B353A4"/>
    <w:rsid w:val="2600053D"/>
    <w:rsid w:val="29515F3B"/>
    <w:rsid w:val="2A70152A"/>
    <w:rsid w:val="2B435217"/>
    <w:rsid w:val="2B571494"/>
    <w:rsid w:val="2BC9477C"/>
    <w:rsid w:val="2C074054"/>
    <w:rsid w:val="2CCC7A6E"/>
    <w:rsid w:val="2CD93FC1"/>
    <w:rsid w:val="2CEF062A"/>
    <w:rsid w:val="2D695E74"/>
    <w:rsid w:val="2DBB0F0D"/>
    <w:rsid w:val="2E362ED5"/>
    <w:rsid w:val="2E867BAB"/>
    <w:rsid w:val="2EBB1DDC"/>
    <w:rsid w:val="2F144F33"/>
    <w:rsid w:val="2F753A34"/>
    <w:rsid w:val="306F238B"/>
    <w:rsid w:val="30F57A99"/>
    <w:rsid w:val="314F781E"/>
    <w:rsid w:val="31662E20"/>
    <w:rsid w:val="329462E3"/>
    <w:rsid w:val="32C12D73"/>
    <w:rsid w:val="32D907A4"/>
    <w:rsid w:val="33566409"/>
    <w:rsid w:val="33860475"/>
    <w:rsid w:val="33F15BCD"/>
    <w:rsid w:val="341027D2"/>
    <w:rsid w:val="34576B55"/>
    <w:rsid w:val="356906B0"/>
    <w:rsid w:val="35D50D8B"/>
    <w:rsid w:val="3668290D"/>
    <w:rsid w:val="36E36477"/>
    <w:rsid w:val="370E6C93"/>
    <w:rsid w:val="38B64D26"/>
    <w:rsid w:val="38BC6306"/>
    <w:rsid w:val="38C961A2"/>
    <w:rsid w:val="38F54B83"/>
    <w:rsid w:val="392E3A1C"/>
    <w:rsid w:val="395575FD"/>
    <w:rsid w:val="39BE588D"/>
    <w:rsid w:val="39C84260"/>
    <w:rsid w:val="39FD00FC"/>
    <w:rsid w:val="3B8466C0"/>
    <w:rsid w:val="3B943B2B"/>
    <w:rsid w:val="3BA8663B"/>
    <w:rsid w:val="3BF714A5"/>
    <w:rsid w:val="3C6573F7"/>
    <w:rsid w:val="3CA56DDE"/>
    <w:rsid w:val="3E373C0D"/>
    <w:rsid w:val="3EB01048"/>
    <w:rsid w:val="3F4D173F"/>
    <w:rsid w:val="3F560130"/>
    <w:rsid w:val="3FF7420E"/>
    <w:rsid w:val="40BD4420"/>
    <w:rsid w:val="40C94726"/>
    <w:rsid w:val="40FB71B2"/>
    <w:rsid w:val="410C6A97"/>
    <w:rsid w:val="420C75CE"/>
    <w:rsid w:val="422A78A4"/>
    <w:rsid w:val="42402AB0"/>
    <w:rsid w:val="42733E38"/>
    <w:rsid w:val="435B71D5"/>
    <w:rsid w:val="43CB1D80"/>
    <w:rsid w:val="43CC764D"/>
    <w:rsid w:val="440C7D27"/>
    <w:rsid w:val="44911056"/>
    <w:rsid w:val="44E26DA8"/>
    <w:rsid w:val="44F0108E"/>
    <w:rsid w:val="45A3632C"/>
    <w:rsid w:val="45E20E6C"/>
    <w:rsid w:val="46F74BA3"/>
    <w:rsid w:val="47C61F82"/>
    <w:rsid w:val="48F41451"/>
    <w:rsid w:val="49BE6A91"/>
    <w:rsid w:val="4A69459C"/>
    <w:rsid w:val="4AD210BB"/>
    <w:rsid w:val="4D3C40C2"/>
    <w:rsid w:val="4D8F1B30"/>
    <w:rsid w:val="4D9A35E4"/>
    <w:rsid w:val="4DCC7224"/>
    <w:rsid w:val="4F0B3310"/>
    <w:rsid w:val="4F3F1A62"/>
    <w:rsid w:val="4F407E25"/>
    <w:rsid w:val="4FC4083E"/>
    <w:rsid w:val="4FDD4029"/>
    <w:rsid w:val="5012126C"/>
    <w:rsid w:val="50A3503D"/>
    <w:rsid w:val="50B06F90"/>
    <w:rsid w:val="518275D2"/>
    <w:rsid w:val="51FC691C"/>
    <w:rsid w:val="5206217C"/>
    <w:rsid w:val="524F3F24"/>
    <w:rsid w:val="5275182F"/>
    <w:rsid w:val="541946DB"/>
    <w:rsid w:val="54714A26"/>
    <w:rsid w:val="54C4102B"/>
    <w:rsid w:val="553D0D1E"/>
    <w:rsid w:val="55917ACA"/>
    <w:rsid w:val="56123828"/>
    <w:rsid w:val="56894B50"/>
    <w:rsid w:val="576B67FB"/>
    <w:rsid w:val="57F25BD9"/>
    <w:rsid w:val="5A286795"/>
    <w:rsid w:val="5A3E1013"/>
    <w:rsid w:val="5AB74EBB"/>
    <w:rsid w:val="5B452AFC"/>
    <w:rsid w:val="5BC67C1C"/>
    <w:rsid w:val="5CE038AD"/>
    <w:rsid w:val="5D0D011D"/>
    <w:rsid w:val="5D200540"/>
    <w:rsid w:val="5DEE1AB3"/>
    <w:rsid w:val="5E2F42E4"/>
    <w:rsid w:val="605A3EDE"/>
    <w:rsid w:val="61CB6D12"/>
    <w:rsid w:val="62924C77"/>
    <w:rsid w:val="63F314D0"/>
    <w:rsid w:val="6453399D"/>
    <w:rsid w:val="64FB0F91"/>
    <w:rsid w:val="65104776"/>
    <w:rsid w:val="65285499"/>
    <w:rsid w:val="65542C50"/>
    <w:rsid w:val="663C55E8"/>
    <w:rsid w:val="664C5E6D"/>
    <w:rsid w:val="67D44269"/>
    <w:rsid w:val="68D56DA7"/>
    <w:rsid w:val="697B37A0"/>
    <w:rsid w:val="6A4F599D"/>
    <w:rsid w:val="6B272597"/>
    <w:rsid w:val="6C412FEE"/>
    <w:rsid w:val="6CE74504"/>
    <w:rsid w:val="6D906F37"/>
    <w:rsid w:val="6DB57C03"/>
    <w:rsid w:val="6E261F2F"/>
    <w:rsid w:val="6ED02EF9"/>
    <w:rsid w:val="6F24488F"/>
    <w:rsid w:val="6F3166A0"/>
    <w:rsid w:val="6F3520D7"/>
    <w:rsid w:val="6F5D10BF"/>
    <w:rsid w:val="71D52071"/>
    <w:rsid w:val="726528D6"/>
    <w:rsid w:val="7268785A"/>
    <w:rsid w:val="72F03D4E"/>
    <w:rsid w:val="73914DB5"/>
    <w:rsid w:val="73972497"/>
    <w:rsid w:val="74EA7954"/>
    <w:rsid w:val="752846C5"/>
    <w:rsid w:val="75824A95"/>
    <w:rsid w:val="75AB408B"/>
    <w:rsid w:val="75BC0D38"/>
    <w:rsid w:val="76051C79"/>
    <w:rsid w:val="76200335"/>
    <w:rsid w:val="76791F9A"/>
    <w:rsid w:val="769B3F57"/>
    <w:rsid w:val="778615D4"/>
    <w:rsid w:val="77A656E3"/>
    <w:rsid w:val="77EE779F"/>
    <w:rsid w:val="784F679A"/>
    <w:rsid w:val="79191AA1"/>
    <w:rsid w:val="791E0B83"/>
    <w:rsid w:val="7AF4693A"/>
    <w:rsid w:val="7C460ED5"/>
    <w:rsid w:val="7C5D2167"/>
    <w:rsid w:val="7D883DDB"/>
    <w:rsid w:val="7D8A573F"/>
    <w:rsid w:val="7DCD568D"/>
    <w:rsid w:val="7DE1368A"/>
    <w:rsid w:val="7DF20A3A"/>
    <w:rsid w:val="7EE51BB5"/>
    <w:rsid w:val="7F8A5A82"/>
    <w:rsid w:val="7FE357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Cambria" w:hAnsi="Cambria"/>
      <w:b/>
      <w:bCs/>
      <w:sz w:val="32"/>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Normal (Web)"/>
    <w:basedOn w:val="1"/>
    <w:qFormat/>
    <w:uiPriority w:val="0"/>
    <w:rPr>
      <w:sz w:val="24"/>
    </w:rPr>
  </w:style>
  <w:style w:type="character" w:styleId="8">
    <w:name w:val="Emphasis"/>
    <w:basedOn w:val="7"/>
    <w:qFormat/>
    <w:uiPriority w:val="0"/>
    <w:rPr>
      <w:i/>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2021-11-09T01:39:00Z</dcterms:created>
  <dc:creator>admin</dc:creator>
  <cp:lastModifiedBy>赵雨 Lindsay</cp:lastModifiedBy>
  <cp:lastPrinted>2025-03-05T08:36:00Z</cp:lastPrinted>
  <dcterms:modified xsi:type="dcterms:W3CDTF">2025-03-10T01:17:34Z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