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eastAsia="方正小标宋简体"/>
          <w:color w:val="FF0000"/>
          <w:sz w:val="64"/>
          <w:szCs w:val="64"/>
        </w:rPr>
      </w:pPr>
      <w:r>
        <w:rPr>
          <w:rFonts w:hint="eastAsia"/>
        </w:rPr>
        <mc:AlternateContent>
          <mc:Choice Requires="wps">
            <w:drawing>
              <wp:anchor distT="0" distB="0" distL="114300" distR="114300" simplePos="0" relativeHeight="251659264" behindDoc="0" locked="0" layoutInCell="1" allowOverlap="1">
                <wp:simplePos x="0" y="0"/>
                <wp:positionH relativeFrom="column">
                  <wp:posOffset>-93980</wp:posOffset>
                </wp:positionH>
                <wp:positionV relativeFrom="paragraph">
                  <wp:posOffset>750570</wp:posOffset>
                </wp:positionV>
                <wp:extent cx="5524500" cy="0"/>
                <wp:effectExtent l="0" t="0" r="0" b="0"/>
                <wp:wrapNone/>
                <wp:docPr id="1" name="直接连接符 1"/>
                <wp:cNvGraphicFramePr/>
                <a:graphic xmlns:a="http://schemas.openxmlformats.org/drawingml/2006/main">
                  <a:graphicData uri="http://schemas.microsoft.com/office/word/2010/wordprocessingShape">
                    <wps:wsp>
                      <wps:cNvCnPr/>
                      <wps:spPr>
                        <a:xfrm flipV="true">
                          <a:off x="0" y="0"/>
                          <a:ext cx="5524500" cy="0"/>
                        </a:xfrm>
                        <a:prstGeom prst="line">
                          <a:avLst/>
                        </a:prstGeom>
                        <a:ln w="12700" cap="flat" cmpd="sng">
                          <a:solidFill>
                            <a:srgbClr val="FF0000"/>
                          </a:solidFill>
                          <a:prstDash val="solid"/>
                          <a:headEnd type="none" w="med" len="med"/>
                          <a:tailEnd type="none" w="med" len="med"/>
                        </a:ln>
                      </wps:spPr>
                      <wps:bodyPr upright="true"/>
                    </wps:wsp>
                  </a:graphicData>
                </a:graphic>
              </wp:anchor>
            </w:drawing>
          </mc:Choice>
          <mc:Fallback>
            <w:pict>
              <v:line id="_x0000_s1026" o:spid="_x0000_s1026" o:spt="20" style="position:absolute;left:0pt;flip:y;margin-left:-7.4pt;margin-top:59.1pt;height:0pt;width:435pt;z-index:251659264;mso-width-relative:page;mso-height-relative:page;" filled="f" stroked="t" coordsize="21600,21600" o:gfxdata="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FgAAAGRycy9Q&#10;SwECFAAUAAAACACHTuJA7Dso2tcAAAALAQAADwAAAAAAAAABACAAAAA4AAAAZHJzL2Rvd25yZXYu&#10;eG1sUEsBAhQAFAAAAAgAh07iQA2GEY/mAQAApwMAAA4AAAAAAAAAAQAgAAAAPAEAAGRycy9lMm9E&#10;b2MueG1sUEsFBgAAAAAGAAYAWQEAAJQFAAAAAA==&#10;">
                <v:fill on="f" focussize="0,0"/>
                <v:stroke weight="1pt" color="#FF0000" joinstyle="round"/>
                <v:imagedata o:title=""/>
                <o:lock v:ext="edit" aspectratio="f"/>
              </v:line>
            </w:pict>
          </mc:Fallback>
        </mc:AlternateContent>
      </w:r>
      <w:r>
        <w:rPr>
          <w:rFonts w:hint="eastAsia"/>
        </w:rPr>
        <mc:AlternateContent>
          <mc:Choice Requires="wps">
            <w:drawing>
              <wp:anchor distT="0" distB="0" distL="114300" distR="114300" simplePos="0" relativeHeight="251658240" behindDoc="0" locked="0" layoutInCell="1" allowOverlap="1">
                <wp:simplePos x="0" y="0"/>
                <wp:positionH relativeFrom="column">
                  <wp:posOffset>-84455</wp:posOffset>
                </wp:positionH>
                <wp:positionV relativeFrom="paragraph">
                  <wp:posOffset>712470</wp:posOffset>
                </wp:positionV>
                <wp:extent cx="5524500" cy="0"/>
                <wp:effectExtent l="0" t="13970" r="0" b="24130"/>
                <wp:wrapNone/>
                <wp:docPr id="2" name="直接连接符 2"/>
                <wp:cNvGraphicFramePr/>
                <a:graphic xmlns:a="http://schemas.openxmlformats.org/drawingml/2006/main">
                  <a:graphicData uri="http://schemas.microsoft.com/office/word/2010/wordprocessingShape">
                    <wps:wsp>
                      <wps:cNvCnPr/>
                      <wps:spPr>
                        <a:xfrm flipV="true">
                          <a:off x="0" y="0"/>
                          <a:ext cx="5524500" cy="0"/>
                        </a:xfrm>
                        <a:prstGeom prst="line">
                          <a:avLst/>
                        </a:prstGeom>
                        <a:ln w="28575" cap="flat" cmpd="sng">
                          <a:solidFill>
                            <a:srgbClr val="FF0000"/>
                          </a:solidFill>
                          <a:prstDash val="solid"/>
                          <a:headEnd type="none" w="med" len="med"/>
                          <a:tailEnd type="none" w="med" len="med"/>
                        </a:ln>
                      </wps:spPr>
                      <wps:bodyPr upright="true"/>
                    </wps:wsp>
                  </a:graphicData>
                </a:graphic>
              </wp:anchor>
            </w:drawing>
          </mc:Choice>
          <mc:Fallback>
            <w:pict>
              <v:line id="_x0000_s1026" o:spid="_x0000_s1026" o:spt="20" style="position:absolute;left:0pt;flip:y;margin-left:-6.65pt;margin-top:56.1pt;height:0pt;width:435pt;z-index:251658240;mso-width-relative:page;mso-height-relative:page;" filled="f" stroked="t" coordsize="21600,21600" o:gfxdata="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BYAAABk&#10;cnMvUEsBAhQAFAAAAAgAh07iQMo4e3zaAAAACwEAAA8AAAAAAAAAAQAgAAAAOAAAAGRycy9kb3du&#10;cmV2LnhtbFBLAQIUABQAAAAIAIdO4kCxcOe95wEAAKcDAAAOAAAAAAAAAAEAIAAAAD8BAABkcnMv&#10;ZTJvRG9jLnhtbFBLBQYAAAAABgAGAFkBAACYBQAAAAA=&#10;">
                <v:fill on="f" focussize="0,0"/>
                <v:stroke weight="2.25pt" color="#FF0000" joinstyle="round"/>
                <v:imagedata o:title=""/>
                <o:lock v:ext="edit" aspectratio="f"/>
              </v:line>
            </w:pict>
          </mc:Fallback>
        </mc:AlternateContent>
      </w:r>
      <w:r>
        <w:rPr>
          <w:rFonts w:hint="eastAsia" w:ascii="方正小标宋简体" w:eastAsia="方正小标宋简体"/>
          <w:color w:val="FF0000"/>
          <w:sz w:val="64"/>
          <w:szCs w:val="64"/>
        </w:rPr>
        <w:t>中 共 绍 兴 市 委 党 校</w:t>
      </w:r>
    </w:p>
    <w:p>
      <w:pPr>
        <w:keepNext w:val="0"/>
        <w:keepLines w:val="0"/>
        <w:pageBreakBefore w:val="0"/>
        <w:widowControl/>
        <w:kinsoku/>
        <w:wordWrap/>
        <w:overflowPunct/>
        <w:topLinePunct w:val="0"/>
        <w:autoSpaceDE/>
        <w:autoSpaceDN/>
        <w:bidi w:val="0"/>
        <w:adjustRightInd/>
        <w:snapToGrid/>
        <w:spacing w:line="500" w:lineRule="exact"/>
        <w:jc w:val="both"/>
        <w:textAlignment w:val="auto"/>
        <w:rPr>
          <w:rFonts w:hint="eastAsia" w:ascii="方正小标宋_GBK" w:hAnsi="方正小标宋_GBK" w:eastAsia="方正小标宋_GBK" w:cs="方正小标宋_GBK"/>
          <w:b w:val="0"/>
          <w:bCs w:val="0"/>
          <w:color w:val="auto"/>
          <w:kern w:val="0"/>
          <w:sz w:val="44"/>
          <w:szCs w:val="44"/>
        </w:rPr>
      </w:pPr>
    </w:p>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方正小标宋_GBK" w:hAnsi="方正小标宋_GBK" w:eastAsia="方正小标宋_GBK" w:cs="方正小标宋_GBK"/>
          <w:b w:val="0"/>
          <w:bCs w:val="0"/>
          <w:color w:val="auto"/>
          <w:kern w:val="0"/>
          <w:sz w:val="44"/>
          <w:szCs w:val="44"/>
        </w:rPr>
      </w:pPr>
    </w:p>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方正小标宋_GBK" w:hAnsi="方正小标宋_GBK" w:eastAsia="方正小标宋_GBK" w:cs="方正小标宋_GBK"/>
          <w:b w:val="0"/>
          <w:bCs w:val="0"/>
          <w:color w:val="auto"/>
          <w:kern w:val="0"/>
          <w:sz w:val="44"/>
          <w:szCs w:val="44"/>
        </w:rPr>
      </w:pPr>
      <w:r>
        <w:rPr>
          <w:rFonts w:hint="eastAsia" w:ascii="方正小标宋_GBK" w:hAnsi="方正小标宋_GBK" w:eastAsia="方正小标宋_GBK" w:cs="方正小标宋_GBK"/>
          <w:b w:val="0"/>
          <w:bCs w:val="0"/>
          <w:color w:val="auto"/>
          <w:kern w:val="0"/>
          <w:sz w:val="44"/>
          <w:szCs w:val="44"/>
        </w:rPr>
        <w:t>中共绍兴市委党校（绍兴市行政学院）</w:t>
      </w:r>
    </w:p>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方正小标宋_GBK" w:hAnsi="方正小标宋_GBK" w:eastAsia="方正小标宋_GBK" w:cs="方正小标宋_GBK"/>
          <w:b w:val="0"/>
          <w:bCs w:val="0"/>
          <w:color w:val="auto"/>
          <w:spacing w:val="-14"/>
          <w:kern w:val="0"/>
          <w:sz w:val="44"/>
          <w:szCs w:val="44"/>
        </w:rPr>
      </w:pPr>
      <w:r>
        <w:rPr>
          <w:rFonts w:hint="eastAsia" w:ascii="方正小标宋_GBK" w:hAnsi="方正小标宋_GBK" w:eastAsia="方正小标宋_GBK" w:cs="方正小标宋_GBK"/>
          <w:b w:val="0"/>
          <w:bCs w:val="0"/>
          <w:color w:val="auto"/>
          <w:spacing w:val="-14"/>
          <w:kern w:val="0"/>
          <w:sz w:val="44"/>
          <w:szCs w:val="44"/>
        </w:rPr>
        <w:t>20</w:t>
      </w:r>
      <w:r>
        <w:rPr>
          <w:rFonts w:hint="eastAsia" w:ascii="方正小标宋_GBK" w:hAnsi="方正小标宋_GBK" w:eastAsia="方正小标宋_GBK" w:cs="方正小标宋_GBK"/>
          <w:b w:val="0"/>
          <w:bCs w:val="0"/>
          <w:color w:val="auto"/>
          <w:spacing w:val="-14"/>
          <w:kern w:val="0"/>
          <w:sz w:val="44"/>
          <w:szCs w:val="44"/>
          <w:lang w:val="en-US" w:eastAsia="zh-CN"/>
        </w:rPr>
        <w:t>25</w:t>
      </w:r>
      <w:r>
        <w:rPr>
          <w:rFonts w:hint="eastAsia" w:ascii="方正小标宋_GBK" w:hAnsi="方正小标宋_GBK" w:eastAsia="方正小标宋_GBK" w:cs="方正小标宋_GBK"/>
          <w:b w:val="0"/>
          <w:bCs w:val="0"/>
          <w:color w:val="auto"/>
          <w:spacing w:val="-14"/>
          <w:kern w:val="0"/>
          <w:sz w:val="44"/>
          <w:szCs w:val="44"/>
        </w:rPr>
        <w:t>年公开招聘</w:t>
      </w:r>
      <w:r>
        <w:rPr>
          <w:rFonts w:hint="eastAsia" w:ascii="方正小标宋_GBK" w:hAnsi="方正小标宋_GBK" w:eastAsia="方正小标宋_GBK" w:cs="方正小标宋_GBK"/>
          <w:b w:val="0"/>
          <w:bCs w:val="0"/>
          <w:color w:val="auto"/>
          <w:spacing w:val="-14"/>
          <w:kern w:val="0"/>
          <w:sz w:val="44"/>
          <w:szCs w:val="44"/>
          <w:lang w:eastAsia="zh-CN"/>
        </w:rPr>
        <w:t>教师</w:t>
      </w:r>
      <w:r>
        <w:rPr>
          <w:rFonts w:hint="eastAsia" w:ascii="方正小标宋_GBK" w:hAnsi="方正小标宋_GBK" w:eastAsia="方正小标宋_GBK" w:cs="方正小标宋_GBK"/>
          <w:b w:val="0"/>
          <w:bCs w:val="0"/>
          <w:color w:val="auto"/>
          <w:spacing w:val="-14"/>
          <w:kern w:val="0"/>
          <w:sz w:val="44"/>
          <w:szCs w:val="44"/>
        </w:rPr>
        <w:t>公告</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因工作需要，绍兴市委党校（绍兴市行政学院）决定面向社会公开招聘6名教师（事业编制）。现将有关事项公告如下：</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Chars="0" w:right="0" w:rightChars="0" w:firstLine="600" w:firstLineChars="200"/>
        <w:jc w:val="both"/>
        <w:textAlignment w:val="auto"/>
        <w:rPr>
          <w:rStyle w:val="7"/>
          <w:rFonts w:hint="eastAsia" w:ascii="黑体" w:hAnsi="黑体" w:eastAsia="黑体" w:cs="黑体"/>
          <w:b w:val="0"/>
          <w:bCs/>
          <w:i w:val="0"/>
          <w:caps w:val="0"/>
          <w:color w:val="000000"/>
          <w:spacing w:val="0"/>
          <w:sz w:val="30"/>
          <w:szCs w:val="30"/>
        </w:rPr>
      </w:pPr>
      <w:r>
        <w:rPr>
          <w:rStyle w:val="7"/>
          <w:rFonts w:hint="eastAsia" w:ascii="黑体" w:hAnsi="黑体" w:eastAsia="黑体" w:cs="黑体"/>
          <w:b w:val="0"/>
          <w:bCs/>
          <w:i w:val="0"/>
          <w:caps w:val="0"/>
          <w:color w:val="000000"/>
          <w:spacing w:val="0"/>
          <w:sz w:val="30"/>
          <w:szCs w:val="30"/>
          <w:lang w:eastAsia="zh-CN"/>
        </w:rPr>
        <w:t>一、</w:t>
      </w:r>
      <w:r>
        <w:rPr>
          <w:rStyle w:val="7"/>
          <w:rFonts w:hint="eastAsia" w:ascii="黑体" w:hAnsi="黑体" w:eastAsia="黑体" w:cs="黑体"/>
          <w:b w:val="0"/>
          <w:bCs/>
          <w:i w:val="0"/>
          <w:caps w:val="0"/>
          <w:color w:val="000000"/>
          <w:spacing w:val="0"/>
          <w:sz w:val="30"/>
          <w:szCs w:val="30"/>
        </w:rPr>
        <w:t>校（院）简介</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中共绍兴市委党校（绍兴市行政学院）是市委领导下的培训领导干部和优秀中青年干部的学校，是党的思想理论建设的重要阵地，是市委市政府的哲学社会科学研究机构和重要智库。下设20个内设机构，其中教研机构为哲学与科社、经济学、党史党建、公共管理与法学、文化与统战等5个教研室和“枫桥经验”、党建、人才发展（挂绍兴市人才发展研究院）等3个研究中心。现有博士研究生25人,正高级职称7人,副高级职称23人。</w:t>
      </w:r>
    </w:p>
    <w:tbl>
      <w:tblPr>
        <w:tblStyle w:val="5"/>
        <w:tblpPr w:leftFromText="180" w:rightFromText="180" w:vertAnchor="text" w:horzAnchor="page" w:tblpX="1492" w:tblpY="555"/>
        <w:tblOverlap w:val="never"/>
        <w:tblW w:w="91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0"/>
        <w:gridCol w:w="845"/>
        <w:gridCol w:w="2293"/>
        <w:gridCol w:w="1425"/>
        <w:gridCol w:w="2145"/>
        <w:gridCol w:w="12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115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sz w:val="24"/>
                <w:szCs w:val="32"/>
                <w:lang w:val="en" w:eastAsia="zh-CN"/>
              </w:rPr>
            </w:pPr>
            <w:r>
              <w:rPr>
                <w:rFonts w:hint="eastAsia" w:ascii="仿宋_GB2312" w:hAnsi="仿宋_GB2312" w:eastAsia="仿宋_GB2312" w:cs="仿宋_GB2312"/>
                <w:b w:val="0"/>
                <w:bCs w:val="0"/>
                <w:color w:val="auto"/>
                <w:sz w:val="24"/>
                <w:szCs w:val="32"/>
                <w:lang w:val="en" w:eastAsia="zh-CN"/>
              </w:rPr>
              <w:t>岗位</w:t>
            </w:r>
          </w:p>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sz w:val="24"/>
                <w:szCs w:val="32"/>
                <w:lang w:val="en" w:eastAsia="zh-CN"/>
              </w:rPr>
            </w:pPr>
            <w:r>
              <w:rPr>
                <w:rFonts w:hint="eastAsia" w:ascii="仿宋_GB2312" w:hAnsi="仿宋_GB2312" w:eastAsia="仿宋_GB2312" w:cs="仿宋_GB2312"/>
                <w:b w:val="0"/>
                <w:bCs w:val="0"/>
                <w:color w:val="auto"/>
                <w:sz w:val="24"/>
                <w:szCs w:val="32"/>
                <w:lang w:val="en" w:eastAsia="zh-CN"/>
              </w:rPr>
              <w:t>名称</w:t>
            </w:r>
          </w:p>
        </w:tc>
        <w:tc>
          <w:tcPr>
            <w:tcW w:w="8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sz w:val="24"/>
                <w:szCs w:val="32"/>
                <w:lang w:val="en" w:eastAsia="zh-CN"/>
              </w:rPr>
            </w:pPr>
            <w:r>
              <w:rPr>
                <w:rFonts w:hint="eastAsia" w:ascii="仿宋_GB2312" w:hAnsi="仿宋_GB2312" w:eastAsia="仿宋_GB2312" w:cs="仿宋_GB2312"/>
                <w:b w:val="0"/>
                <w:bCs w:val="0"/>
                <w:color w:val="auto"/>
                <w:sz w:val="24"/>
                <w:szCs w:val="32"/>
                <w:lang w:val="en" w:eastAsia="zh-CN"/>
              </w:rPr>
              <w:t>人数</w:t>
            </w:r>
          </w:p>
        </w:tc>
        <w:tc>
          <w:tcPr>
            <w:tcW w:w="229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sz w:val="24"/>
                <w:szCs w:val="32"/>
                <w:lang w:val="en-US" w:eastAsia="zh-CN"/>
              </w:rPr>
            </w:pPr>
            <w:r>
              <w:rPr>
                <w:rFonts w:hint="eastAsia" w:ascii="仿宋_GB2312" w:hAnsi="仿宋_GB2312" w:eastAsia="仿宋_GB2312" w:cs="仿宋_GB2312"/>
                <w:b w:val="0"/>
                <w:bCs w:val="0"/>
                <w:color w:val="auto"/>
                <w:sz w:val="24"/>
                <w:szCs w:val="32"/>
                <w:lang w:val="en" w:eastAsia="zh-CN"/>
              </w:rPr>
              <w:t>专业</w:t>
            </w:r>
          </w:p>
        </w:tc>
        <w:tc>
          <w:tcPr>
            <w:tcW w:w="142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sz w:val="24"/>
                <w:szCs w:val="32"/>
                <w:lang w:val="en" w:eastAsia="zh-CN"/>
              </w:rPr>
            </w:pPr>
            <w:r>
              <w:rPr>
                <w:rFonts w:hint="eastAsia" w:ascii="仿宋_GB2312" w:hAnsi="仿宋_GB2312" w:eastAsia="仿宋_GB2312" w:cs="仿宋_GB2312"/>
                <w:b w:val="0"/>
                <w:bCs w:val="0"/>
                <w:color w:val="auto"/>
                <w:sz w:val="24"/>
                <w:szCs w:val="32"/>
                <w:lang w:val="en" w:eastAsia="zh-CN"/>
              </w:rPr>
              <w:t>学历</w:t>
            </w:r>
          </w:p>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sz w:val="24"/>
                <w:szCs w:val="32"/>
                <w:lang w:val="en-US" w:eastAsia="zh-CN"/>
              </w:rPr>
            </w:pPr>
            <w:r>
              <w:rPr>
                <w:rFonts w:hint="eastAsia" w:ascii="仿宋_GB2312" w:hAnsi="仿宋_GB2312" w:eastAsia="仿宋_GB2312" w:cs="仿宋_GB2312"/>
                <w:b w:val="0"/>
                <w:bCs w:val="0"/>
                <w:color w:val="auto"/>
                <w:sz w:val="24"/>
                <w:szCs w:val="32"/>
                <w:lang w:val="en" w:eastAsia="zh-CN"/>
              </w:rPr>
              <w:t>学位</w:t>
            </w:r>
          </w:p>
        </w:tc>
        <w:tc>
          <w:tcPr>
            <w:tcW w:w="21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sz w:val="24"/>
                <w:szCs w:val="32"/>
                <w:lang w:val="en-US" w:eastAsia="zh-CN"/>
              </w:rPr>
            </w:pPr>
            <w:r>
              <w:rPr>
                <w:rFonts w:hint="eastAsia" w:ascii="仿宋_GB2312" w:hAnsi="仿宋_GB2312" w:eastAsia="仿宋_GB2312" w:cs="仿宋_GB2312"/>
                <w:b w:val="0"/>
                <w:bCs w:val="0"/>
                <w:color w:val="auto"/>
                <w:sz w:val="24"/>
                <w:szCs w:val="32"/>
                <w:lang w:val="en-US" w:eastAsia="zh-CN"/>
              </w:rPr>
              <w:t>其他资格条件</w:t>
            </w:r>
          </w:p>
        </w:tc>
        <w:tc>
          <w:tcPr>
            <w:tcW w:w="125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sz w:val="24"/>
                <w:szCs w:val="32"/>
                <w:lang w:val="en-US" w:eastAsia="zh-CN"/>
              </w:rPr>
            </w:pPr>
            <w:r>
              <w:rPr>
                <w:rFonts w:hint="eastAsia" w:ascii="仿宋_GB2312" w:hAnsi="仿宋_GB2312" w:eastAsia="仿宋_GB2312" w:cs="仿宋_GB2312"/>
                <w:b w:val="0"/>
                <w:bCs w:val="0"/>
                <w:color w:val="auto"/>
                <w:sz w:val="24"/>
                <w:szCs w:val="32"/>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exact"/>
        </w:trPr>
        <w:tc>
          <w:tcPr>
            <w:tcW w:w="115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专业</w:t>
            </w:r>
          </w:p>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技术岗1</w:t>
            </w:r>
          </w:p>
        </w:tc>
        <w:tc>
          <w:tcPr>
            <w:tcW w:w="8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2</w:t>
            </w:r>
          </w:p>
        </w:tc>
        <w:tc>
          <w:tcPr>
            <w:tcW w:w="229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lang w:val="en" w:eastAsia="zh-CN"/>
              </w:rPr>
            </w:pPr>
            <w:r>
              <w:rPr>
                <w:rFonts w:hint="eastAsia" w:ascii="仿宋_GB2312" w:hAnsi="仿宋_GB2312" w:eastAsia="仿宋_GB2312" w:cs="仿宋_GB2312"/>
                <w:b w:val="0"/>
                <w:bCs w:val="0"/>
                <w:color w:val="auto"/>
                <w:lang w:val="en" w:eastAsia="zh-CN"/>
              </w:rPr>
              <w:t>马克思主义理论类；</w:t>
            </w:r>
          </w:p>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 w:eastAsia="zh-CN"/>
              </w:rPr>
              <w:t>经济学类</w:t>
            </w:r>
          </w:p>
        </w:tc>
        <w:tc>
          <w:tcPr>
            <w:tcW w:w="1425" w:type="dxa"/>
            <w:shd w:val="clear" w:color="auto" w:fill="FFFFFF" w:themeFill="background1"/>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博士研究生</w:t>
            </w:r>
            <w:r>
              <w:rPr>
                <w:rFonts w:hint="eastAsia" w:ascii="仿宋_GB2312" w:hAnsi="仿宋_GB2312" w:eastAsia="仿宋_GB2312" w:cs="仿宋_GB2312"/>
                <w:b w:val="0"/>
                <w:bCs w:val="0"/>
                <w:color w:val="auto"/>
                <w:lang w:val="en-US" w:eastAsia="zh-CN"/>
              </w:rPr>
              <w:t>/博士学位</w:t>
            </w:r>
          </w:p>
        </w:tc>
        <w:tc>
          <w:tcPr>
            <w:tcW w:w="2145" w:type="dxa"/>
            <w:shd w:val="clear" w:color="auto" w:fill="FFFFFF" w:themeFill="background1"/>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本科专业为马克思主义理论类或经济学类</w:t>
            </w:r>
          </w:p>
        </w:tc>
        <w:tc>
          <w:tcPr>
            <w:tcW w:w="1258"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Chars="0" w:firstLine="0" w:firstLineChars="0"/>
              <w:jc w:val="center"/>
              <w:textAlignment w:val="auto"/>
              <w:rPr>
                <w:rFonts w:hint="default" w:ascii="仿宋" w:hAnsi="仿宋" w:eastAsia="仿宋" w:cs="仿宋"/>
                <w:color w:val="auto"/>
                <w:sz w:val="24"/>
                <w:szCs w:val="24"/>
                <w:vertAlign w:val="baseline"/>
                <w:lang w:val="en-US" w:eastAsia="zh-CN"/>
              </w:rPr>
            </w:pPr>
            <w:r>
              <w:rPr>
                <w:rFonts w:hint="eastAsia" w:ascii="仿宋_GB2312" w:hAnsi="仿宋_GB2312" w:eastAsia="仿宋_GB2312" w:cs="仿宋_GB2312"/>
                <w:b w:val="0"/>
                <w:bCs w:val="0"/>
                <w:color w:val="auto"/>
                <w:lang w:val="en-US" w:eastAsia="zh-CN"/>
              </w:rPr>
              <w:t>专业要求参考《2025年公务员招考专业参考目录》（见附件2）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3" w:hRule="exact"/>
        </w:trPr>
        <w:tc>
          <w:tcPr>
            <w:tcW w:w="115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专业</w:t>
            </w:r>
          </w:p>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技术岗</w:t>
            </w:r>
            <w:bookmarkStart w:id="0" w:name="_GoBack"/>
            <w:bookmarkEnd w:id="0"/>
            <w:r>
              <w:rPr>
                <w:rFonts w:hint="eastAsia" w:ascii="仿宋_GB2312" w:hAnsi="仿宋_GB2312" w:eastAsia="仿宋_GB2312" w:cs="仿宋_GB2312"/>
                <w:b w:val="0"/>
                <w:bCs w:val="0"/>
                <w:color w:val="auto"/>
                <w:lang w:val="en-US" w:eastAsia="zh-CN"/>
              </w:rPr>
              <w:t>2</w:t>
            </w:r>
          </w:p>
        </w:tc>
        <w:tc>
          <w:tcPr>
            <w:tcW w:w="8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2</w:t>
            </w:r>
          </w:p>
        </w:tc>
        <w:tc>
          <w:tcPr>
            <w:tcW w:w="229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哲学类；法学类；</w:t>
            </w:r>
          </w:p>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中共党史、党的学说与党的建设、中共党史党建学、文化研究</w:t>
            </w:r>
          </w:p>
        </w:tc>
        <w:tc>
          <w:tcPr>
            <w:tcW w:w="1425" w:type="dxa"/>
            <w:shd w:val="clear" w:color="auto" w:fill="FFFFFF" w:themeFill="background1"/>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 w:hAnsi="仿宋" w:eastAsia="仿宋" w:cs="仿宋"/>
                <w:color w:val="auto"/>
                <w:kern w:val="2"/>
                <w:sz w:val="24"/>
                <w:szCs w:val="24"/>
                <w:lang w:val="en-US" w:eastAsia="zh-CN" w:bidi="ar-SA"/>
              </w:rPr>
            </w:pPr>
            <w:r>
              <w:rPr>
                <w:rFonts w:hint="eastAsia" w:ascii="仿宋_GB2312" w:hAnsi="仿宋_GB2312" w:eastAsia="仿宋_GB2312" w:cs="仿宋_GB2312"/>
                <w:b w:val="0"/>
                <w:bCs w:val="0"/>
                <w:color w:val="auto"/>
              </w:rPr>
              <w:t>博士研究生</w:t>
            </w:r>
            <w:r>
              <w:rPr>
                <w:rFonts w:hint="eastAsia" w:ascii="仿宋_GB2312" w:hAnsi="仿宋_GB2312" w:eastAsia="仿宋_GB2312" w:cs="仿宋_GB2312"/>
                <w:b w:val="0"/>
                <w:bCs w:val="0"/>
                <w:color w:val="auto"/>
                <w:lang w:val="en-US" w:eastAsia="zh-CN"/>
              </w:rPr>
              <w:t>/博士学位</w:t>
            </w:r>
          </w:p>
        </w:tc>
        <w:tc>
          <w:tcPr>
            <w:tcW w:w="2145" w:type="dxa"/>
            <w:shd w:val="clear" w:color="auto" w:fill="FFFFFF" w:themeFill="background1"/>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default"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本科专业为哲学类、法学类或中国共产党党史、中国革命史与中国共产党党史、中国共产党历史专业</w:t>
            </w:r>
          </w:p>
        </w:tc>
        <w:tc>
          <w:tcPr>
            <w:tcW w:w="1258"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500" w:lineRule="exact"/>
              <w:ind w:leftChars="0" w:firstLine="480" w:firstLineChars="200"/>
              <w:jc w:val="left"/>
              <w:textAlignment w:val="auto"/>
              <w:rPr>
                <w:rFonts w:hint="eastAsia" w:ascii="仿宋" w:hAnsi="仿宋" w:eastAsia="仿宋" w:cs="仿宋"/>
                <w:color w:val="auto"/>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exact"/>
        </w:trPr>
        <w:tc>
          <w:tcPr>
            <w:tcW w:w="115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专业</w:t>
            </w:r>
          </w:p>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技术岗3</w:t>
            </w:r>
          </w:p>
        </w:tc>
        <w:tc>
          <w:tcPr>
            <w:tcW w:w="8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1</w:t>
            </w:r>
          </w:p>
        </w:tc>
        <w:tc>
          <w:tcPr>
            <w:tcW w:w="229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哲学、</w:t>
            </w:r>
          </w:p>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马克思主义哲学</w:t>
            </w:r>
          </w:p>
        </w:tc>
        <w:tc>
          <w:tcPr>
            <w:tcW w:w="142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硕士研究生/硕士学位</w:t>
            </w:r>
          </w:p>
        </w:tc>
        <w:tc>
          <w:tcPr>
            <w:tcW w:w="2145"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在校期间须以第一作者在公开期刊发表本专业学术论文一篇及以上</w:t>
            </w:r>
          </w:p>
        </w:tc>
        <w:tc>
          <w:tcPr>
            <w:tcW w:w="1258"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500" w:lineRule="exact"/>
              <w:ind w:leftChars="0" w:firstLine="480" w:firstLineChars="200"/>
              <w:jc w:val="left"/>
              <w:textAlignment w:val="auto"/>
              <w:rPr>
                <w:rFonts w:hint="eastAsia" w:ascii="仿宋" w:hAnsi="仿宋" w:eastAsia="仿宋" w:cs="仿宋"/>
                <w:color w:val="auto"/>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exact"/>
        </w:trPr>
        <w:tc>
          <w:tcPr>
            <w:tcW w:w="115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专业</w:t>
            </w:r>
          </w:p>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技术岗4</w:t>
            </w:r>
          </w:p>
        </w:tc>
        <w:tc>
          <w:tcPr>
            <w:tcW w:w="8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1</w:t>
            </w:r>
          </w:p>
        </w:tc>
        <w:tc>
          <w:tcPr>
            <w:tcW w:w="229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法学、法律（法学）</w:t>
            </w:r>
          </w:p>
        </w:tc>
        <w:tc>
          <w:tcPr>
            <w:tcW w:w="142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硕士研究生/硕士学位</w:t>
            </w:r>
          </w:p>
        </w:tc>
        <w:tc>
          <w:tcPr>
            <w:tcW w:w="214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500" w:lineRule="exact"/>
              <w:ind w:leftChars="0" w:firstLine="480" w:firstLineChars="200"/>
              <w:jc w:val="left"/>
              <w:textAlignment w:val="auto"/>
              <w:rPr>
                <w:rFonts w:hint="eastAsia" w:ascii="仿宋" w:hAnsi="仿宋" w:eastAsia="仿宋" w:cs="仿宋"/>
                <w:color w:val="auto"/>
                <w:kern w:val="2"/>
                <w:sz w:val="24"/>
                <w:szCs w:val="24"/>
                <w:lang w:val="en-US" w:eastAsia="zh-CN" w:bidi="ar-SA"/>
              </w:rPr>
            </w:pPr>
          </w:p>
        </w:tc>
        <w:tc>
          <w:tcPr>
            <w:tcW w:w="1258"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500" w:lineRule="exact"/>
              <w:ind w:leftChars="0" w:firstLine="480" w:firstLineChars="200"/>
              <w:jc w:val="left"/>
              <w:textAlignment w:val="auto"/>
              <w:rPr>
                <w:rFonts w:hint="eastAsia" w:ascii="仿宋" w:hAnsi="仿宋" w:eastAsia="仿宋" w:cs="仿宋"/>
                <w:color w:val="auto"/>
                <w:kern w:val="2"/>
                <w:sz w:val="24"/>
                <w:szCs w:val="24"/>
                <w:lang w:val="en-US" w:eastAsia="zh-CN" w:bidi="ar-SA"/>
              </w:rPr>
            </w:pPr>
          </w:p>
        </w:tc>
      </w:tr>
    </w:tbl>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Chars="0" w:right="0" w:rightChars="0" w:firstLine="600" w:firstLineChars="200"/>
        <w:jc w:val="both"/>
        <w:textAlignment w:val="auto"/>
        <w:rPr>
          <w:rStyle w:val="7"/>
          <w:rFonts w:hint="eastAsia" w:ascii="黑体" w:hAnsi="黑体" w:eastAsia="黑体" w:cs="黑体"/>
          <w:b w:val="0"/>
          <w:bCs/>
          <w:i w:val="0"/>
          <w:caps w:val="0"/>
          <w:color w:val="000000"/>
          <w:spacing w:val="0"/>
          <w:sz w:val="30"/>
          <w:szCs w:val="30"/>
          <w:lang w:val="en-US" w:eastAsia="zh-CN"/>
        </w:rPr>
      </w:pPr>
      <w:r>
        <w:rPr>
          <w:rStyle w:val="7"/>
          <w:rFonts w:hint="eastAsia" w:ascii="黑体" w:hAnsi="黑体" w:eastAsia="黑体" w:cs="黑体"/>
          <w:b w:val="0"/>
          <w:bCs/>
          <w:i w:val="0"/>
          <w:caps w:val="0"/>
          <w:color w:val="000000"/>
          <w:spacing w:val="0"/>
          <w:sz w:val="30"/>
          <w:szCs w:val="30"/>
          <w:lang w:eastAsia="zh-CN"/>
        </w:rPr>
        <w:t>二、招聘岗位</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Chars="0" w:right="0" w:rightChars="0" w:firstLine="600" w:firstLineChars="200"/>
        <w:jc w:val="both"/>
        <w:textAlignment w:val="auto"/>
        <w:rPr>
          <w:rStyle w:val="7"/>
          <w:rFonts w:hint="eastAsia" w:ascii="黑体" w:hAnsi="黑体" w:eastAsia="黑体" w:cs="黑体"/>
          <w:b w:val="0"/>
          <w:bCs/>
          <w:i w:val="0"/>
          <w:caps w:val="0"/>
          <w:color w:val="000000"/>
          <w:spacing w:val="0"/>
          <w:sz w:val="30"/>
          <w:szCs w:val="30"/>
          <w:lang w:eastAsia="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Chars="0" w:right="0" w:rightChars="0" w:firstLine="600" w:firstLineChars="200"/>
        <w:jc w:val="both"/>
        <w:textAlignment w:val="auto"/>
        <w:rPr>
          <w:rStyle w:val="7"/>
          <w:rFonts w:hint="eastAsia" w:ascii="黑体" w:hAnsi="黑体" w:eastAsia="黑体" w:cs="黑体"/>
          <w:b w:val="0"/>
          <w:bCs/>
          <w:i w:val="0"/>
          <w:caps w:val="0"/>
          <w:color w:val="000000"/>
          <w:spacing w:val="0"/>
          <w:sz w:val="30"/>
          <w:szCs w:val="30"/>
          <w:lang w:eastAsia="zh-CN"/>
        </w:rPr>
      </w:pPr>
      <w:r>
        <w:rPr>
          <w:rStyle w:val="7"/>
          <w:rFonts w:hint="eastAsia" w:ascii="黑体" w:hAnsi="黑体" w:eastAsia="黑体" w:cs="黑体"/>
          <w:b w:val="0"/>
          <w:bCs/>
          <w:i w:val="0"/>
          <w:caps w:val="0"/>
          <w:color w:val="000000"/>
          <w:spacing w:val="0"/>
          <w:sz w:val="30"/>
          <w:szCs w:val="30"/>
          <w:lang w:eastAsia="zh-CN"/>
        </w:rPr>
        <w:t>三、招聘</w:t>
      </w:r>
      <w:r>
        <w:rPr>
          <w:rStyle w:val="7"/>
          <w:rFonts w:hint="eastAsia" w:ascii="黑体" w:hAnsi="黑体" w:eastAsia="黑体" w:cs="黑体"/>
          <w:b w:val="0"/>
          <w:bCs/>
          <w:i w:val="0"/>
          <w:caps w:val="0"/>
          <w:color w:val="000000"/>
          <w:spacing w:val="0"/>
          <w:sz w:val="30"/>
          <w:szCs w:val="30"/>
          <w:shd w:val="clear" w:fill="auto"/>
          <w:lang w:eastAsia="zh-CN"/>
        </w:rPr>
        <w:t>要求</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2"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b/>
          <w:bCs/>
          <w:i w:val="0"/>
          <w:caps w:val="0"/>
          <w:color w:val="404040"/>
          <w:spacing w:val="0"/>
          <w:sz w:val="28"/>
          <w:szCs w:val="28"/>
          <w:shd w:val="clear" w:fill="FFFFFF"/>
        </w:rPr>
        <w:t>（一）</w:t>
      </w:r>
      <w:r>
        <w:rPr>
          <w:rFonts w:hint="eastAsia" w:ascii="仿宋_GB2312" w:hAnsi="仿宋_GB2312" w:eastAsia="仿宋_GB2312" w:cs="仿宋_GB2312"/>
          <w:b/>
          <w:bCs/>
          <w:i w:val="0"/>
          <w:caps w:val="0"/>
          <w:color w:val="404040"/>
          <w:spacing w:val="0"/>
          <w:sz w:val="28"/>
          <w:szCs w:val="28"/>
          <w:shd w:val="clear" w:fill="FFFFFF"/>
          <w:lang w:eastAsia="zh-CN"/>
        </w:rPr>
        <w:t>招</w:t>
      </w:r>
      <w:r>
        <w:rPr>
          <w:rFonts w:hint="eastAsia" w:ascii="仿宋_GB2312" w:hAnsi="仿宋_GB2312" w:eastAsia="仿宋_GB2312" w:cs="仿宋_GB2312"/>
          <w:b/>
          <w:bCs/>
          <w:i w:val="0"/>
          <w:caps w:val="0"/>
          <w:color w:val="404040"/>
          <w:spacing w:val="0"/>
          <w:sz w:val="28"/>
          <w:szCs w:val="28"/>
          <w:shd w:val="clear" w:fill="FFFFFF"/>
          <w:lang w:val="en-US" w:eastAsia="zh-CN"/>
        </w:rPr>
        <w:t>聘条件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1.具有中华人民共和国国籍；</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2.政治立场坚定，坚定捍卫“两个确立”、坚决做到“两个维护”，在思想上政治上行动上同以习近平同志为核心的党中央保持高度一致；</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3.博士研究生年龄在40周岁及以下</w:t>
      </w:r>
      <w:r>
        <w:rPr>
          <w:rFonts w:hint="eastAsia" w:ascii="仿宋_GB2312" w:hAnsi="仿宋_GB2312" w:eastAsia="仿宋_GB2312" w:cs="仿宋_GB2312"/>
          <w:color w:val="auto"/>
          <w:spacing w:val="-20"/>
          <w:kern w:val="2"/>
          <w:sz w:val="28"/>
          <w:szCs w:val="28"/>
          <w:highlight w:val="none"/>
          <w:lang w:val="en-US" w:eastAsia="zh-CN" w:bidi="ar-SA"/>
        </w:rPr>
        <w:t>（1984年1月25日及以后出生）</w:t>
      </w:r>
      <w:r>
        <w:rPr>
          <w:rFonts w:hint="eastAsia" w:ascii="仿宋_GB2312" w:hAnsi="仿宋_GB2312" w:eastAsia="仿宋_GB2312" w:cs="仿宋_GB2312"/>
          <w:color w:val="auto"/>
          <w:kern w:val="2"/>
          <w:sz w:val="28"/>
          <w:szCs w:val="28"/>
          <w:highlight w:val="none"/>
          <w:lang w:val="en-US" w:eastAsia="zh-CN" w:bidi="ar-SA"/>
        </w:rPr>
        <w:t>；硕士研究生年龄在35周岁及以下（1989年1月25日及以后出生）;</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4.遵纪守法，品学兼优，身心健康；</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5.符合招聘岗位所需的专业、学历学位等要求；</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6.以硕士研究生学历报考者须为应届硕士研究生，包括国内普通高校2025届硕士研究生及国（境）外2025届硕士研究生。国内普通高校2025届硕士研究生指国内普通高校2025年毕业并取得学历（学位）证书的人员；国（境）外2025届硕士研究生是指毕业时间或取得教育部中国留学服务中心的学历学位认证书时间在2025年的人员。下列情形者视同对待：2023年、2024年普通高校毕业生，或同期毕业并可在2025年取得学历学位认证书的留学人员，以及按国家政策规定可以享受应届毕业生就业待遇的其他情形人员，可按应届毕业生身份应聘。</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2" w:firstLineChars="200"/>
        <w:jc w:val="both"/>
        <w:textAlignment w:val="auto"/>
        <w:rPr>
          <w:rFonts w:hint="eastAsia" w:ascii="仿宋_GB2312" w:hAnsi="仿宋_GB2312" w:eastAsia="仿宋_GB2312" w:cs="仿宋_GB2312"/>
          <w:b/>
          <w:bCs/>
          <w:i w:val="0"/>
          <w:caps w:val="0"/>
          <w:color w:val="404040"/>
          <w:spacing w:val="0"/>
          <w:sz w:val="28"/>
          <w:szCs w:val="28"/>
          <w:shd w:val="clear" w:fill="FFFFFF"/>
          <w:lang w:val="en-US" w:eastAsia="zh-CN"/>
        </w:rPr>
      </w:pPr>
      <w:r>
        <w:rPr>
          <w:rFonts w:hint="eastAsia" w:ascii="仿宋_GB2312" w:hAnsi="仿宋_GB2312" w:eastAsia="仿宋_GB2312" w:cs="仿宋_GB2312"/>
          <w:b/>
          <w:bCs/>
          <w:i w:val="0"/>
          <w:caps w:val="0"/>
          <w:color w:val="404040"/>
          <w:spacing w:val="0"/>
          <w:sz w:val="28"/>
          <w:szCs w:val="28"/>
          <w:shd w:val="clear" w:fill="FFFFFF"/>
          <w:lang w:val="en-US" w:eastAsia="zh-CN"/>
        </w:rPr>
        <w:t>（二）有下列情形之一的，不得应聘</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1.涉嫌违纪违法正在接受纪检监察机关或者司法机关审查尚未作出结论的；</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2.属于《公务员录用考察办法（试行）》规定不得确定为录用人选情形之一的人员；</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3.聘用后即构成回避关系的；</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4.曾有学术不端等不良行为的；</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default"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5.具有法律、法规规定的不得聘用为事业单位工作人员的其他情形人员。</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Chars="0" w:right="0" w:rightChars="0" w:firstLine="600" w:firstLineChars="200"/>
        <w:jc w:val="both"/>
        <w:textAlignment w:val="auto"/>
        <w:rPr>
          <w:rStyle w:val="7"/>
          <w:rFonts w:hint="eastAsia" w:ascii="黑体" w:hAnsi="黑体" w:eastAsia="黑体" w:cs="黑体"/>
          <w:b w:val="0"/>
          <w:bCs/>
          <w:i w:val="0"/>
          <w:caps w:val="0"/>
          <w:color w:val="000000"/>
          <w:spacing w:val="0"/>
          <w:sz w:val="30"/>
          <w:szCs w:val="30"/>
          <w:lang w:eastAsia="zh-CN"/>
        </w:rPr>
      </w:pPr>
      <w:r>
        <w:rPr>
          <w:rStyle w:val="7"/>
          <w:rFonts w:hint="eastAsia" w:ascii="黑体" w:hAnsi="黑体" w:eastAsia="黑体" w:cs="黑体"/>
          <w:b w:val="0"/>
          <w:bCs/>
          <w:i w:val="0"/>
          <w:caps w:val="0"/>
          <w:color w:val="000000"/>
          <w:spacing w:val="0"/>
          <w:sz w:val="30"/>
          <w:szCs w:val="30"/>
          <w:lang w:eastAsia="zh-CN"/>
        </w:rPr>
        <w:t>四、招聘程序</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2" w:firstLineChars="200"/>
        <w:jc w:val="left"/>
        <w:textAlignment w:val="auto"/>
        <w:rPr>
          <w:rFonts w:hint="eastAsia" w:ascii="仿宋_GB2312" w:hAnsi="仿宋_GB2312" w:eastAsia="仿宋_GB2312" w:cs="仿宋_GB2312"/>
          <w:b/>
          <w:bCs/>
          <w:i w:val="0"/>
          <w:caps w:val="0"/>
          <w:color w:val="404040"/>
          <w:spacing w:val="0"/>
          <w:kern w:val="0"/>
          <w:sz w:val="28"/>
          <w:szCs w:val="28"/>
          <w:shd w:val="clear" w:fill="FFFFFF"/>
          <w:lang w:val="en-US" w:eastAsia="zh-CN" w:bidi="ar-SA"/>
        </w:rPr>
      </w:pPr>
      <w:r>
        <w:rPr>
          <w:rFonts w:hint="eastAsia" w:ascii="仿宋_GB2312" w:hAnsi="仿宋_GB2312" w:eastAsia="仿宋_GB2312" w:cs="仿宋_GB2312"/>
          <w:b/>
          <w:bCs/>
          <w:i w:val="0"/>
          <w:caps w:val="0"/>
          <w:color w:val="404040"/>
          <w:spacing w:val="0"/>
          <w:kern w:val="0"/>
          <w:sz w:val="28"/>
          <w:szCs w:val="28"/>
          <w:shd w:val="clear" w:fill="FFFFFF"/>
          <w:lang w:val="en-US" w:eastAsia="zh-CN" w:bidi="ar-SA"/>
        </w:rPr>
        <w:t>（一）报名</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报名时间：公告发布之日至2025年12月31日，本次招聘岗位采取年度汇总更新，根据岗位报名情况，结合校（院）工作需要，适时对符合资格条件的应聘人员组织考试，直至相应岗位落实聘用人员（期间，一经招满即通过中共绍兴市委党校网站公告截止）。</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报名地点：中共绍兴市委党校人事处（浙江省绍兴市越城区阳明路8号）</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报名方式：网上报名。</w:t>
      </w:r>
      <w:r>
        <w:rPr>
          <w:rFonts w:hint="eastAsia" w:ascii="仿宋_GB2312" w:hAnsi="仿宋_GB2312" w:eastAsia="仿宋_GB2312" w:cs="仿宋_GB2312"/>
          <w:color w:val="auto"/>
          <w:kern w:val="2"/>
          <w:sz w:val="28"/>
          <w:szCs w:val="28"/>
          <w:highlight w:val="none"/>
          <w:lang w:val="en-US" w:eastAsia="zh-CN" w:bidi="ar-SA"/>
        </w:rPr>
        <w:fldChar w:fldCharType="begin"/>
      </w:r>
      <w:r>
        <w:rPr>
          <w:rFonts w:hint="eastAsia" w:ascii="仿宋_GB2312" w:hAnsi="仿宋_GB2312" w:eastAsia="仿宋_GB2312" w:cs="仿宋_GB2312"/>
          <w:color w:val="auto"/>
          <w:kern w:val="2"/>
          <w:sz w:val="28"/>
          <w:szCs w:val="28"/>
          <w:highlight w:val="none"/>
          <w:lang w:val="en-US" w:eastAsia="zh-CN" w:bidi="ar-SA"/>
        </w:rPr>
        <w:instrText xml:space="preserve"> HYPERLINK "mailto:应聘人员下载并填好报名表（见附件），发送报名表、本人简历、身份证、学历学位证书（国境外留学回国境人员凭教育部中国留学服务中心出具的国境外学历学位认证书或国境外院校学籍证明）、近期免冠1寸彩照1张等材料的扫描件；\“应聘岗位+姓名\”到指定邮箱，yyang@nbdx.cn" </w:instrText>
      </w:r>
      <w:r>
        <w:rPr>
          <w:rFonts w:hint="eastAsia" w:ascii="仿宋_GB2312" w:hAnsi="仿宋_GB2312" w:eastAsia="仿宋_GB2312" w:cs="仿宋_GB2312"/>
          <w:color w:val="auto"/>
          <w:kern w:val="2"/>
          <w:sz w:val="28"/>
          <w:szCs w:val="28"/>
          <w:highlight w:val="none"/>
          <w:lang w:val="en-US" w:eastAsia="zh-CN" w:bidi="ar-SA"/>
        </w:rPr>
        <w:fldChar w:fldCharType="separate"/>
      </w:r>
      <w:r>
        <w:rPr>
          <w:rFonts w:hint="eastAsia" w:ascii="仿宋_GB2312" w:hAnsi="仿宋_GB2312" w:eastAsia="仿宋_GB2312" w:cs="仿宋_GB2312"/>
          <w:color w:val="auto"/>
          <w:kern w:val="2"/>
          <w:sz w:val="28"/>
          <w:szCs w:val="28"/>
          <w:highlight w:val="none"/>
          <w:lang w:val="en-US" w:eastAsia="zh-CN" w:bidi="ar-SA"/>
        </w:rPr>
        <w:t>应聘人员下载并填写报名登记表（见附件1），发送报名材料到指定邮箱：</w:t>
      </w:r>
      <w:r>
        <w:rPr>
          <w:rFonts w:hint="eastAsia" w:ascii="仿宋_GB2312" w:hAnsi="仿宋_GB2312" w:eastAsia="仿宋_GB2312" w:cs="仿宋_GB2312"/>
          <w:color w:val="auto"/>
          <w:kern w:val="2"/>
          <w:sz w:val="28"/>
          <w:szCs w:val="28"/>
          <w:highlight w:val="none"/>
          <w:lang w:val="en-US" w:eastAsia="zh-CN" w:bidi="ar-SA"/>
        </w:rPr>
        <w:fldChar w:fldCharType="begin"/>
      </w:r>
      <w:r>
        <w:rPr>
          <w:rFonts w:hint="eastAsia" w:ascii="仿宋_GB2312" w:hAnsi="仿宋_GB2312" w:eastAsia="仿宋_GB2312" w:cs="仿宋_GB2312"/>
          <w:color w:val="auto"/>
          <w:kern w:val="2"/>
          <w:sz w:val="28"/>
          <w:szCs w:val="28"/>
          <w:highlight w:val="none"/>
          <w:lang w:val="en-US" w:eastAsia="zh-CN" w:bidi="ar-SA"/>
        </w:rPr>
        <w:instrText xml:space="preserve"> HYPERLINK "mailto:zgsxswdx@163.com" </w:instrText>
      </w:r>
      <w:r>
        <w:rPr>
          <w:rFonts w:hint="eastAsia" w:ascii="仿宋_GB2312" w:hAnsi="仿宋_GB2312" w:eastAsia="仿宋_GB2312" w:cs="仿宋_GB2312"/>
          <w:color w:val="auto"/>
          <w:kern w:val="2"/>
          <w:sz w:val="28"/>
          <w:szCs w:val="28"/>
          <w:highlight w:val="none"/>
          <w:lang w:val="en-US" w:eastAsia="zh-CN" w:bidi="ar-SA"/>
        </w:rPr>
        <w:fldChar w:fldCharType="separate"/>
      </w:r>
      <w:r>
        <w:rPr>
          <w:rFonts w:hint="eastAsia" w:ascii="仿宋_GB2312" w:hAnsi="仿宋_GB2312" w:eastAsia="仿宋_GB2312" w:cs="仿宋_GB2312"/>
          <w:color w:val="auto"/>
          <w:kern w:val="2"/>
          <w:sz w:val="28"/>
          <w:szCs w:val="28"/>
          <w:highlight w:val="none"/>
          <w:lang w:val="en-US" w:eastAsia="zh-CN" w:bidi="ar-SA"/>
        </w:rPr>
        <w:t>zgsxswdx@163.com</w:t>
      </w:r>
      <w:r>
        <w:rPr>
          <w:rFonts w:hint="eastAsia" w:ascii="仿宋_GB2312" w:hAnsi="仿宋_GB2312" w:eastAsia="仿宋_GB2312" w:cs="仿宋_GB2312"/>
          <w:color w:val="auto"/>
          <w:kern w:val="2"/>
          <w:sz w:val="28"/>
          <w:szCs w:val="28"/>
          <w:highlight w:val="none"/>
          <w:lang w:val="en-US" w:eastAsia="zh-CN" w:bidi="ar-SA"/>
        </w:rPr>
        <w:fldChar w:fldCharType="end"/>
      </w:r>
      <w:r>
        <w:rPr>
          <w:rFonts w:hint="eastAsia" w:ascii="仿宋_GB2312" w:hAnsi="仿宋_GB2312" w:eastAsia="仿宋_GB2312" w:cs="仿宋_GB2312"/>
          <w:color w:val="auto"/>
          <w:kern w:val="2"/>
          <w:sz w:val="28"/>
          <w:szCs w:val="28"/>
          <w:highlight w:val="none"/>
          <w:lang w:val="en-US" w:eastAsia="zh-CN" w:bidi="ar-SA"/>
        </w:rPr>
        <w:fldChar w:fldCharType="end"/>
      </w:r>
      <w:r>
        <w:rPr>
          <w:rFonts w:hint="eastAsia" w:ascii="仿宋_GB2312" w:hAnsi="仿宋_GB2312" w:eastAsia="仿宋_GB2312" w:cs="仿宋_GB2312"/>
          <w:color w:val="auto"/>
          <w:kern w:val="2"/>
          <w:sz w:val="28"/>
          <w:szCs w:val="28"/>
          <w:highlight w:val="none"/>
          <w:lang w:val="en-US" w:eastAsia="zh-CN" w:bidi="ar-SA"/>
        </w:rPr>
        <w:t>。邮件主题为“本人姓名+毕业学校+所学专业”。</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报名材料：</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（1）报名登记表（word版及扫描件）；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（2）学历和学位证书扫描件（未取得学历（学位）证书的国内普通高校应届毕业生持高校核发的就业推荐表，国（境）外应届毕业生持入学证明，同时符合《公告》规定的其他条件）。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（3）职称资格证书扫描件；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（4）本人身份证扫描件；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（5）反映个人学术水平的专业论文或其他成果证书扫描件；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（6）近期一寸正面免冠电子证件照。</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应聘人员应确保提交材料真实准确，如发现信息不实、弄虚作假，立即取消应聘资格。按要求填报联系方式，并保持通讯畅通。</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2" w:firstLineChars="200"/>
        <w:jc w:val="left"/>
        <w:textAlignment w:val="auto"/>
        <w:rPr>
          <w:rFonts w:hint="eastAsia" w:ascii="仿宋_GB2312" w:hAnsi="仿宋_GB2312" w:eastAsia="仿宋_GB2312" w:cs="仿宋_GB2312"/>
          <w:b/>
          <w:bCs/>
          <w:i w:val="0"/>
          <w:caps w:val="0"/>
          <w:color w:val="404040"/>
          <w:spacing w:val="0"/>
          <w:kern w:val="0"/>
          <w:sz w:val="28"/>
          <w:szCs w:val="28"/>
          <w:shd w:val="clear" w:fill="FFFFFF"/>
          <w:lang w:val="en-US" w:eastAsia="zh-CN" w:bidi="ar-SA"/>
        </w:rPr>
      </w:pPr>
      <w:r>
        <w:rPr>
          <w:rFonts w:hint="eastAsia" w:ascii="仿宋_GB2312" w:hAnsi="仿宋_GB2312" w:eastAsia="仿宋_GB2312" w:cs="仿宋_GB2312"/>
          <w:b/>
          <w:bCs/>
          <w:i w:val="0"/>
          <w:caps w:val="0"/>
          <w:color w:val="404040"/>
          <w:spacing w:val="0"/>
          <w:kern w:val="0"/>
          <w:sz w:val="28"/>
          <w:szCs w:val="28"/>
          <w:shd w:val="clear" w:fill="FFFFFF"/>
          <w:lang w:val="en-US" w:eastAsia="zh-CN" w:bidi="ar-SA"/>
        </w:rPr>
        <w:t>（二）资格审查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学校根据招聘条件对应聘人员进行资格条件审查。资格审查通过人数与招聘人数原则上达到3:1及以上（如低于3:1，报绍兴市人力社保局同意，可适当降低招聘比例或取消招聘计划）。</w:t>
      </w:r>
      <w:r>
        <w:rPr>
          <w:rFonts w:hint="eastAsia" w:ascii="仿宋_GB2312" w:hAnsi="仿宋_GB2312" w:eastAsia="仿宋_GB2312" w:cs="仿宋_GB2312"/>
          <w:color w:val="auto"/>
          <w:kern w:val="2"/>
          <w:sz w:val="28"/>
          <w:szCs w:val="28"/>
          <w:highlight w:val="none"/>
          <w:shd w:val="clear" w:fill="auto"/>
          <w:lang w:val="en-US" w:eastAsia="zh-CN" w:bidi="ar-SA"/>
        </w:rPr>
        <w:t>若专业设置与国（境）内外高校具体专业名称有一定差异的，</w:t>
      </w:r>
      <w:r>
        <w:rPr>
          <w:rFonts w:hint="eastAsia" w:ascii="仿宋_GB2312" w:hAnsi="仿宋_GB2312" w:eastAsia="仿宋_GB2312" w:cs="仿宋_GB2312"/>
          <w:color w:val="auto"/>
          <w:kern w:val="2"/>
          <w:sz w:val="28"/>
          <w:szCs w:val="28"/>
          <w:highlight w:val="none"/>
          <w:lang w:val="en-US" w:eastAsia="zh-CN" w:bidi="ar-SA"/>
        </w:rPr>
        <w:t>应聘人员专业与岗位专业要求可按照“相似相近”的原则，由学校比对课程与所设专业的相似度，进行审查决定。资格审查通过人员参加考试。本次选聘不收取报名费和考试费。</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2" w:firstLineChars="200"/>
        <w:jc w:val="left"/>
        <w:textAlignment w:val="auto"/>
        <w:rPr>
          <w:rFonts w:hint="eastAsia" w:ascii="仿宋_GB2312" w:hAnsi="仿宋_GB2312" w:eastAsia="仿宋_GB2312" w:cs="仿宋_GB2312"/>
          <w:b/>
          <w:bCs/>
          <w:i w:val="0"/>
          <w:caps w:val="0"/>
          <w:color w:val="404040"/>
          <w:spacing w:val="0"/>
          <w:kern w:val="0"/>
          <w:sz w:val="28"/>
          <w:szCs w:val="28"/>
          <w:shd w:val="clear" w:fill="FFFFFF"/>
          <w:lang w:val="en-US" w:eastAsia="zh-CN" w:bidi="ar-SA"/>
        </w:rPr>
      </w:pPr>
      <w:r>
        <w:rPr>
          <w:rFonts w:hint="eastAsia" w:ascii="仿宋_GB2312" w:hAnsi="仿宋_GB2312" w:eastAsia="仿宋_GB2312" w:cs="仿宋_GB2312"/>
          <w:b/>
          <w:bCs/>
          <w:i w:val="0"/>
          <w:caps w:val="0"/>
          <w:color w:val="404040"/>
          <w:spacing w:val="0"/>
          <w:kern w:val="0"/>
          <w:sz w:val="28"/>
          <w:szCs w:val="28"/>
          <w:shd w:val="clear" w:fill="FFFFFF"/>
          <w:lang w:val="en-US" w:eastAsia="zh-CN" w:bidi="ar-SA"/>
        </w:rPr>
        <w:t>（三）考试</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招聘考试由校（院）按照公开招聘有关规定组织实施，着重考核思想政治素质、岗位匹配度、专业知识水平、个人综合素养等。</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default"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对于博士研究生，直接组织面试进行教研咨能力测试，以试讲及科研成果评分方式进行，着重考核应聘人员的专业综合能力、课堂教学能力和学术研究能力。满分100分，保留小数点后两位，合格分为</w:t>
      </w:r>
      <w:r>
        <w:rPr>
          <w:rFonts w:hint="default" w:ascii="仿宋_GB2312" w:hAnsi="仿宋_GB2312" w:eastAsia="仿宋_GB2312" w:cs="仿宋_GB2312"/>
          <w:color w:val="auto"/>
          <w:kern w:val="2"/>
          <w:sz w:val="28"/>
          <w:szCs w:val="28"/>
          <w:highlight w:val="none"/>
          <w:lang w:eastAsia="zh-CN" w:bidi="ar-SA"/>
        </w:rPr>
        <w:t>60</w:t>
      </w:r>
      <w:r>
        <w:rPr>
          <w:rFonts w:hint="eastAsia" w:ascii="仿宋_GB2312" w:hAnsi="仿宋_GB2312" w:eastAsia="仿宋_GB2312" w:cs="仿宋_GB2312"/>
          <w:color w:val="auto"/>
          <w:kern w:val="2"/>
          <w:sz w:val="28"/>
          <w:szCs w:val="28"/>
          <w:highlight w:val="none"/>
          <w:lang w:val="en-US" w:eastAsia="zh-CN" w:bidi="ar-SA"/>
        </w:rPr>
        <w:t>分，低于合格分的，不再进入下一环节。</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对于硕士研究生，采用先进行专业能力测试，再进行教研咨能力测试方式进行。专业能力测试采用面试方式进行，主要考核个人学科专业综合能力，教研咨能力测试采用试讲及科研成果评分方式进行，主要考核课堂教学能力及学术科研能力。专业能力测试</w:t>
      </w:r>
      <w:r>
        <w:rPr>
          <w:rFonts w:hint="default" w:ascii="仿宋_GB2312" w:hAnsi="仿宋_GB2312" w:eastAsia="仿宋_GB2312" w:cs="仿宋_GB2312"/>
          <w:color w:val="auto"/>
          <w:kern w:val="2"/>
          <w:sz w:val="28"/>
          <w:szCs w:val="28"/>
          <w:highlight w:val="none"/>
          <w:lang w:eastAsia="zh-CN" w:bidi="ar-SA"/>
        </w:rPr>
        <w:t>及</w:t>
      </w:r>
      <w:r>
        <w:rPr>
          <w:rFonts w:hint="eastAsia" w:ascii="仿宋_GB2312" w:hAnsi="仿宋_GB2312" w:eastAsia="仿宋_GB2312" w:cs="仿宋_GB2312"/>
          <w:color w:val="auto"/>
          <w:kern w:val="2"/>
          <w:sz w:val="28"/>
          <w:szCs w:val="28"/>
          <w:highlight w:val="none"/>
          <w:lang w:val="en-US" w:eastAsia="zh-CN" w:bidi="ar-SA"/>
        </w:rPr>
        <w:t>教研咨能力测试满分均为100分，保留小数点后两位，合格分均为60分，低于合格分的，不再进入下一环节。总分=专业能力测试分×30%+教研咨能力测试分×70%，保留小数点后两位。如出现总分相同人数超过招聘计划，由教研咨能力测试得分高者录取，教研咨能力测试得分相同，中共党员（含预备党员）应聘人员优先录取。</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2" w:firstLineChars="200"/>
        <w:jc w:val="left"/>
        <w:textAlignment w:val="auto"/>
        <w:rPr>
          <w:rFonts w:hint="eastAsia" w:ascii="仿宋_GB2312" w:hAnsi="仿宋_GB2312" w:eastAsia="仿宋_GB2312" w:cs="仿宋_GB2312"/>
          <w:b/>
          <w:bCs/>
          <w:i w:val="0"/>
          <w:caps w:val="0"/>
          <w:color w:val="404040"/>
          <w:spacing w:val="0"/>
          <w:kern w:val="0"/>
          <w:sz w:val="28"/>
          <w:szCs w:val="28"/>
          <w:shd w:val="clear" w:fill="92D050"/>
          <w:lang w:val="en-US" w:eastAsia="zh-CN" w:bidi="ar-SA"/>
        </w:rPr>
      </w:pPr>
      <w:r>
        <w:rPr>
          <w:rFonts w:hint="eastAsia" w:ascii="仿宋_GB2312" w:hAnsi="仿宋_GB2312" w:eastAsia="仿宋_GB2312" w:cs="仿宋_GB2312"/>
          <w:b/>
          <w:bCs/>
          <w:i w:val="0"/>
          <w:caps w:val="0"/>
          <w:color w:val="404040"/>
          <w:spacing w:val="0"/>
          <w:kern w:val="0"/>
          <w:sz w:val="28"/>
          <w:szCs w:val="28"/>
          <w:shd w:val="clear" w:fill="FFFFFF"/>
          <w:lang w:val="en-US" w:eastAsia="zh-CN" w:bidi="ar-SA"/>
        </w:rPr>
        <w:t>（四）成绩公布</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0" w:firstLineChars="200"/>
        <w:jc w:val="left"/>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面试完毕，根据各项目评分情况，公布面试总成绩，并从高分到低分排定名次并予公布。按招聘计划数1:1在总成绩合格人员中按名次确定入围体检人员名单。</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2" w:firstLineChars="200"/>
        <w:jc w:val="left"/>
        <w:textAlignment w:val="auto"/>
        <w:rPr>
          <w:rFonts w:hint="eastAsia" w:ascii="仿宋_GB2312" w:hAnsi="仿宋_GB2312" w:eastAsia="仿宋_GB2312" w:cs="仿宋_GB2312"/>
          <w:b/>
          <w:bCs/>
          <w:i w:val="0"/>
          <w:caps w:val="0"/>
          <w:color w:val="404040"/>
          <w:spacing w:val="0"/>
          <w:kern w:val="0"/>
          <w:sz w:val="28"/>
          <w:szCs w:val="28"/>
          <w:shd w:val="clear" w:fill="92D050"/>
          <w:lang w:val="en-US" w:eastAsia="zh-CN" w:bidi="ar-SA"/>
        </w:rPr>
      </w:pPr>
      <w:r>
        <w:rPr>
          <w:rFonts w:hint="eastAsia" w:ascii="仿宋_GB2312" w:hAnsi="仿宋_GB2312" w:eastAsia="仿宋_GB2312" w:cs="仿宋_GB2312"/>
          <w:b/>
          <w:bCs/>
          <w:i w:val="0"/>
          <w:caps w:val="0"/>
          <w:color w:val="404040"/>
          <w:spacing w:val="0"/>
          <w:kern w:val="0"/>
          <w:sz w:val="28"/>
          <w:szCs w:val="28"/>
          <w:shd w:val="clear" w:fill="FFFFFF"/>
          <w:lang w:val="en-US" w:eastAsia="zh-CN" w:bidi="ar-SA"/>
        </w:rPr>
        <w:t>（五）体检与考察</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体检、考察参照公务员录用体检、考察工作相关标准执行，进入体检人员未按规定时间、地点参加体检视为自动放弃。体检或考察不合格者，不能进入下一环节。因体检或考察不合格或考生个人放弃出现选聘岗位空缺时，不再递补。</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2" w:firstLineChars="200"/>
        <w:jc w:val="left"/>
        <w:textAlignment w:val="auto"/>
        <w:rPr>
          <w:rFonts w:hint="eastAsia" w:ascii="仿宋_GB2312" w:hAnsi="仿宋_GB2312" w:eastAsia="仿宋_GB2312" w:cs="仿宋_GB2312"/>
          <w:b/>
          <w:bCs/>
          <w:i w:val="0"/>
          <w:caps w:val="0"/>
          <w:color w:val="404040"/>
          <w:spacing w:val="0"/>
          <w:kern w:val="0"/>
          <w:sz w:val="28"/>
          <w:szCs w:val="28"/>
          <w:shd w:val="clear" w:fill="FFFFFF"/>
          <w:lang w:val="en-US" w:eastAsia="zh-CN" w:bidi="ar-SA"/>
        </w:rPr>
      </w:pPr>
      <w:r>
        <w:rPr>
          <w:rFonts w:hint="eastAsia" w:ascii="仿宋_GB2312" w:hAnsi="仿宋_GB2312" w:eastAsia="仿宋_GB2312" w:cs="仿宋_GB2312"/>
          <w:b/>
          <w:bCs/>
          <w:i w:val="0"/>
          <w:caps w:val="0"/>
          <w:color w:val="404040"/>
          <w:spacing w:val="0"/>
          <w:kern w:val="0"/>
          <w:sz w:val="28"/>
          <w:szCs w:val="28"/>
          <w:shd w:val="clear" w:fill="FFFFFF"/>
          <w:lang w:val="en-US" w:eastAsia="zh-CN" w:bidi="ar-SA"/>
        </w:rPr>
        <w:t>（六）公示与聘用</w:t>
      </w:r>
    </w:p>
    <w:p>
      <w:pPr>
        <w:keepNext w:val="0"/>
        <w:keepLines w:val="0"/>
        <w:pageBreakBefore w:val="0"/>
        <w:widowControl/>
        <w:suppressLineNumbers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仿宋_GB2312" w:eastAsia="仿宋_GB2312" w:cs="仿宋_GB2312"/>
          <w:color w:val="auto"/>
          <w:kern w:val="2"/>
          <w:sz w:val="28"/>
          <w:szCs w:val="28"/>
          <w:shd w:val="clear" w:fill="FFFFFF" w:themeFill="background1"/>
          <w:lang w:val="en-US" w:eastAsia="zh-CN" w:bidi="ar-SA"/>
        </w:rPr>
      </w:pPr>
      <w:r>
        <w:rPr>
          <w:rFonts w:hint="eastAsia" w:ascii="仿宋_GB2312" w:hAnsi="仿宋_GB2312" w:eastAsia="仿宋_GB2312" w:cs="仿宋_GB2312"/>
          <w:color w:val="auto"/>
          <w:kern w:val="2"/>
          <w:sz w:val="28"/>
          <w:szCs w:val="28"/>
          <w:highlight w:val="none"/>
          <w:lang w:val="en-US" w:eastAsia="zh-CN" w:bidi="ar-SA"/>
        </w:rPr>
        <w:t>经考察合格的拟聘人员在我校网站公示7个工作日。公示期满，对拟聘用人员没有异议或反映有问题经查实不影响聘用的，按规定办理相关手续。</w:t>
      </w:r>
      <w:r>
        <w:rPr>
          <w:rFonts w:hint="eastAsia" w:ascii="仿宋_GB2312" w:hAnsi="仿宋_GB2312" w:eastAsia="仿宋_GB2312" w:cs="仿宋_GB2312"/>
          <w:color w:val="auto"/>
          <w:kern w:val="2"/>
          <w:sz w:val="28"/>
          <w:szCs w:val="28"/>
          <w:shd w:val="clear" w:fill="FFFFFF" w:themeFill="background1"/>
          <w:lang w:val="en-US" w:eastAsia="zh-CN" w:bidi="ar-SA"/>
        </w:rPr>
        <w:t>公示期间有异议，对反映的问题一时难以查实的，将暂缓聘用，待查清后再决定是否聘用；对反映有影响聘用问题查有实据的，不予聘用，由此产生的缺额不再递补。</w:t>
      </w:r>
    </w:p>
    <w:p>
      <w:pPr>
        <w:keepNext w:val="0"/>
        <w:keepLines w:val="0"/>
        <w:pageBreakBefore w:val="0"/>
        <w:widowControl/>
        <w:suppressLineNumbers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仿宋_GB2312" w:eastAsia="仿宋_GB2312" w:cs="仿宋_GB2312"/>
          <w:color w:val="auto"/>
          <w:kern w:val="2"/>
          <w:sz w:val="28"/>
          <w:szCs w:val="28"/>
          <w:shd w:val="clear" w:fill="FFFFFF" w:themeFill="background1"/>
          <w:lang w:val="en-US" w:eastAsia="zh-CN" w:bidi="ar-SA"/>
        </w:rPr>
      </w:pPr>
      <w:r>
        <w:rPr>
          <w:rFonts w:hint="eastAsia" w:ascii="仿宋_GB2312" w:hAnsi="仿宋_GB2312" w:eastAsia="仿宋_GB2312" w:cs="仿宋_GB2312"/>
          <w:color w:val="auto"/>
          <w:kern w:val="2"/>
          <w:sz w:val="28"/>
          <w:szCs w:val="28"/>
          <w:shd w:val="clear" w:fill="FFFFFF" w:themeFill="background1"/>
          <w:lang w:val="en-US" w:eastAsia="zh-CN" w:bidi="ar-SA"/>
        </w:rPr>
        <w:t>有下列情形之一的，取消聘用资格，由此产生的缺额不再递补：</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0" w:firstLineChars="200"/>
        <w:jc w:val="left"/>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1.提供材料信息不实、弄虚作假的；</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0" w:firstLineChars="200"/>
        <w:jc w:val="left"/>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2.未在招聘单位通知的报到期限内办理报到手续的；</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0" w:firstLineChars="200"/>
        <w:jc w:val="left"/>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3.未在2025年12月31日（含）前取得相应的学历、学位证书（含教育部中国留学服务中心出具的《国＜境＞外学历、学位认证书》）的。</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600" w:firstLineChars="200"/>
        <w:jc w:val="left"/>
        <w:textAlignment w:val="auto"/>
        <w:rPr>
          <w:rStyle w:val="7"/>
          <w:rFonts w:hint="eastAsia" w:ascii="黑体" w:hAnsi="黑体" w:eastAsia="黑体" w:cs="黑体"/>
          <w:b w:val="0"/>
          <w:bCs/>
          <w:i w:val="0"/>
          <w:caps w:val="0"/>
          <w:color w:val="000000"/>
          <w:spacing w:val="0"/>
          <w:kern w:val="0"/>
          <w:sz w:val="30"/>
          <w:szCs w:val="30"/>
          <w:lang w:val="en-US" w:eastAsia="zh-CN" w:bidi="ar-SA"/>
        </w:rPr>
      </w:pPr>
      <w:r>
        <w:rPr>
          <w:rStyle w:val="7"/>
          <w:rFonts w:hint="eastAsia" w:ascii="黑体" w:hAnsi="黑体" w:eastAsia="黑体" w:cs="黑体"/>
          <w:b w:val="0"/>
          <w:bCs/>
          <w:i w:val="0"/>
          <w:caps w:val="0"/>
          <w:color w:val="000000"/>
          <w:spacing w:val="0"/>
          <w:kern w:val="0"/>
          <w:sz w:val="30"/>
          <w:szCs w:val="30"/>
          <w:lang w:val="en-US" w:eastAsia="zh-CN" w:bidi="ar-SA"/>
        </w:rPr>
        <w:t>五、政策待遇</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0" w:firstLineChars="200"/>
        <w:jc w:val="left"/>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给予市外全职引进博士以下人才政策：</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0" w:firstLineChars="200"/>
        <w:jc w:val="left"/>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（一）来绍工作后给予9万元安家补贴、50万元房票；</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0" w:firstLineChars="200"/>
        <w:jc w:val="left"/>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（二）子女可享受“教育绿卡”。</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0" w:firstLineChars="200"/>
        <w:jc w:val="left"/>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具体以《关于加快建设新时代“名士之乡”人才高地的若干政策》（绍市委办发〔2024〕2 号）为准。</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0" w:firstLineChars="200"/>
        <w:jc w:val="left"/>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另学校提供过渡性住房一套居住。</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600" w:firstLineChars="200"/>
        <w:jc w:val="both"/>
        <w:textAlignment w:val="auto"/>
        <w:rPr>
          <w:rStyle w:val="7"/>
          <w:rFonts w:hint="eastAsia" w:ascii="黑体" w:hAnsi="黑体" w:eastAsia="黑体" w:cs="黑体"/>
          <w:b w:val="0"/>
          <w:bCs/>
          <w:i w:val="0"/>
          <w:caps w:val="0"/>
          <w:color w:val="000000"/>
          <w:spacing w:val="0"/>
          <w:kern w:val="0"/>
          <w:sz w:val="30"/>
          <w:szCs w:val="30"/>
          <w:lang w:val="en-US" w:eastAsia="zh-CN" w:bidi="ar-SA"/>
        </w:rPr>
      </w:pPr>
      <w:r>
        <w:rPr>
          <w:rStyle w:val="7"/>
          <w:rFonts w:hint="eastAsia" w:ascii="黑体" w:hAnsi="黑体" w:eastAsia="黑体" w:cs="黑体"/>
          <w:b w:val="0"/>
          <w:bCs/>
          <w:i w:val="0"/>
          <w:caps w:val="0"/>
          <w:color w:val="000000"/>
          <w:spacing w:val="0"/>
          <w:kern w:val="0"/>
          <w:sz w:val="30"/>
          <w:szCs w:val="30"/>
          <w:lang w:val="en-US" w:eastAsia="zh-CN" w:bidi="ar-SA"/>
        </w:rPr>
        <w:t>六、咨询监督</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（一）咨询：中共绍兴市委党校（绍兴市行政学院）人事处蔡老师0575-88129388 ，郑老师0575-88129376。</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（二）监督：招聘工作接受绍兴市人力资源和社会保障局监督，监督电话：0575-85125301。</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（三）本公告未尽事宜，由中共绍兴市委党校（绍兴市行政学院）负责解释。</w:t>
      </w:r>
    </w:p>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color w:val="auto"/>
          <w:kern w:val="2"/>
          <w:sz w:val="32"/>
          <w:szCs w:val="32"/>
          <w:highlight w:val="none"/>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附件：1.《中共绍兴市委党校公开招聘教师报名登记表》</w:t>
      </w:r>
    </w:p>
    <w:p>
      <w:pPr>
        <w:keepNext w:val="0"/>
        <w:keepLines w:val="0"/>
        <w:pageBreakBefore w:val="0"/>
        <w:widowControl/>
        <w:suppressLineNumbers w:val="0"/>
        <w:kinsoku/>
        <w:wordWrap/>
        <w:overflowPunct/>
        <w:topLinePunct w:val="0"/>
        <w:autoSpaceDE/>
        <w:autoSpaceDN/>
        <w:bidi w:val="0"/>
        <w:adjustRightInd/>
        <w:snapToGrid/>
        <w:spacing w:line="500" w:lineRule="exact"/>
        <w:ind w:firstLine="840" w:firstLineChars="300"/>
        <w:jc w:val="left"/>
        <w:textAlignment w:val="auto"/>
        <w:rPr>
          <w:rFonts w:hint="default"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2.《2025年公务员招考专业参考目录》</w:t>
      </w:r>
    </w:p>
    <w:p>
      <w:pPr>
        <w:keepNext w:val="0"/>
        <w:keepLines w:val="0"/>
        <w:pageBreakBefore w:val="0"/>
        <w:widowControl/>
        <w:suppressLineNumbers w:val="0"/>
        <w:kinsoku/>
        <w:wordWrap/>
        <w:overflowPunct/>
        <w:topLinePunct w:val="0"/>
        <w:autoSpaceDE/>
        <w:autoSpaceDN/>
        <w:bidi w:val="0"/>
        <w:adjustRightInd/>
        <w:snapToGrid/>
        <w:spacing w:line="500" w:lineRule="exact"/>
        <w:jc w:val="right"/>
        <w:textAlignment w:val="auto"/>
        <w:rPr>
          <w:rFonts w:hint="eastAsia" w:ascii="仿宋_GB2312" w:hAnsi="仿宋_GB2312" w:eastAsia="仿宋_GB2312" w:cs="仿宋_GB2312"/>
          <w:color w:val="auto"/>
          <w:kern w:val="2"/>
          <w:sz w:val="32"/>
          <w:szCs w:val="32"/>
          <w:highlight w:val="none"/>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right"/>
        <w:textAlignment w:val="auto"/>
        <w:rPr>
          <w:rFonts w:hint="eastAsia" w:ascii="仿宋_GB2312" w:hAnsi="仿宋_GB2312" w:eastAsia="仿宋_GB2312" w:cs="仿宋_GB2312"/>
          <w:color w:val="auto"/>
          <w:kern w:val="2"/>
          <w:sz w:val="32"/>
          <w:szCs w:val="32"/>
          <w:highlight w:val="none"/>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right"/>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中共绍兴市委党校</w:t>
      </w:r>
    </w:p>
    <w:p>
      <w:pPr>
        <w:keepNext w:val="0"/>
        <w:keepLines w:val="0"/>
        <w:pageBreakBefore w:val="0"/>
        <w:widowControl/>
        <w:suppressLineNumbers w:val="0"/>
        <w:kinsoku/>
        <w:wordWrap/>
        <w:overflowPunct/>
        <w:topLinePunct w:val="0"/>
        <w:autoSpaceDE/>
        <w:autoSpaceDN/>
        <w:bidi w:val="0"/>
        <w:adjustRightInd/>
        <w:snapToGrid/>
        <w:spacing w:line="500" w:lineRule="exact"/>
        <w:jc w:val="right"/>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2025年1月24日</w:t>
      </w: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sectPr>
      <w:footerReference r:id="rId3" w:type="default"/>
      <w:pgSz w:w="11906" w:h="16838"/>
      <w:pgMar w:top="1440" w:right="1633" w:bottom="1440" w:left="1689"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00007A87" w:usb1="80000000" w:usb2="00000008"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书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right" w:y="1"/>
      <w:rPr>
        <w:rStyle w:val="8"/>
      </w:rPr>
    </w:pPr>
    <w:r>
      <w:fldChar w:fldCharType="begin"/>
    </w:r>
    <w:r>
      <w:rPr>
        <w:rStyle w:val="8"/>
      </w:rPr>
      <w:instrText xml:space="preserve">PAGE  </w:instrText>
    </w:r>
    <w:r>
      <w:fldChar w:fldCharType="separate"/>
    </w:r>
    <w:r>
      <w:rPr>
        <w:rStyle w:val="8"/>
      </w:rPr>
      <w:t>2</w:t>
    </w:r>
    <w:r>
      <w:fldChar w:fldCharType="end"/>
    </w:r>
  </w:p>
  <w:p>
    <w:pPr>
      <w:pStyle w:val="3"/>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355644"/>
    <w:rsid w:val="047F5185"/>
    <w:rsid w:val="08FF2456"/>
    <w:rsid w:val="13D687A3"/>
    <w:rsid w:val="13FE3B7B"/>
    <w:rsid w:val="16C92B11"/>
    <w:rsid w:val="19BED538"/>
    <w:rsid w:val="1BE529C0"/>
    <w:rsid w:val="1CF7AF9A"/>
    <w:rsid w:val="1F7F559F"/>
    <w:rsid w:val="1F9F48CF"/>
    <w:rsid w:val="1FD76362"/>
    <w:rsid w:val="1FF3DC54"/>
    <w:rsid w:val="2CFF1CA5"/>
    <w:rsid w:val="2F7F6FC0"/>
    <w:rsid w:val="2FBE8375"/>
    <w:rsid w:val="336F652D"/>
    <w:rsid w:val="337FD01E"/>
    <w:rsid w:val="35F3B8C4"/>
    <w:rsid w:val="37DAEE2F"/>
    <w:rsid w:val="39DC035A"/>
    <w:rsid w:val="3AAD1F5C"/>
    <w:rsid w:val="3B7654D1"/>
    <w:rsid w:val="3BFD3D48"/>
    <w:rsid w:val="3D5F3BC4"/>
    <w:rsid w:val="3E7B314A"/>
    <w:rsid w:val="3ECD8040"/>
    <w:rsid w:val="3F5CE4D2"/>
    <w:rsid w:val="3FAD519E"/>
    <w:rsid w:val="3FAFD56D"/>
    <w:rsid w:val="3FBE640C"/>
    <w:rsid w:val="3FC789C8"/>
    <w:rsid w:val="468F616B"/>
    <w:rsid w:val="4B1F577A"/>
    <w:rsid w:val="4DFFC773"/>
    <w:rsid w:val="4F5DB76D"/>
    <w:rsid w:val="4F6D9207"/>
    <w:rsid w:val="4F75D6EC"/>
    <w:rsid w:val="55F30D34"/>
    <w:rsid w:val="57FAF638"/>
    <w:rsid w:val="58EB1E8C"/>
    <w:rsid w:val="5B5EC0C8"/>
    <w:rsid w:val="5B773BCD"/>
    <w:rsid w:val="5BB72FED"/>
    <w:rsid w:val="5CF369E0"/>
    <w:rsid w:val="5CF7E83F"/>
    <w:rsid w:val="5D9F284D"/>
    <w:rsid w:val="5DAEFBD8"/>
    <w:rsid w:val="5DE77CCF"/>
    <w:rsid w:val="5E9B497B"/>
    <w:rsid w:val="5EB5B222"/>
    <w:rsid w:val="5F392E6F"/>
    <w:rsid w:val="5F5DF715"/>
    <w:rsid w:val="5F7A3EDD"/>
    <w:rsid w:val="5F7BAA43"/>
    <w:rsid w:val="5F7F2EB1"/>
    <w:rsid w:val="5FBD58DA"/>
    <w:rsid w:val="5FBFA093"/>
    <w:rsid w:val="5FEA729D"/>
    <w:rsid w:val="5FFF47D9"/>
    <w:rsid w:val="63FE97F2"/>
    <w:rsid w:val="64674831"/>
    <w:rsid w:val="64BB2C43"/>
    <w:rsid w:val="66C6336D"/>
    <w:rsid w:val="66FB63E0"/>
    <w:rsid w:val="673FD479"/>
    <w:rsid w:val="676F4CE3"/>
    <w:rsid w:val="67DE8146"/>
    <w:rsid w:val="69EB540E"/>
    <w:rsid w:val="6AFF0CEF"/>
    <w:rsid w:val="6BF757B5"/>
    <w:rsid w:val="6CB77BD6"/>
    <w:rsid w:val="6D7F5A7A"/>
    <w:rsid w:val="6DABF267"/>
    <w:rsid w:val="6DF8337A"/>
    <w:rsid w:val="6DFB3220"/>
    <w:rsid w:val="6E355644"/>
    <w:rsid w:val="6E7AB333"/>
    <w:rsid w:val="6FCDE874"/>
    <w:rsid w:val="6FF61D24"/>
    <w:rsid w:val="70EE96D1"/>
    <w:rsid w:val="71E39B50"/>
    <w:rsid w:val="72FBEB3B"/>
    <w:rsid w:val="733E649F"/>
    <w:rsid w:val="73EB752F"/>
    <w:rsid w:val="73FB74ED"/>
    <w:rsid w:val="73FF4B93"/>
    <w:rsid w:val="73FFC063"/>
    <w:rsid w:val="7517471B"/>
    <w:rsid w:val="757DF429"/>
    <w:rsid w:val="75EFA5A0"/>
    <w:rsid w:val="75FF49D0"/>
    <w:rsid w:val="7627CFEB"/>
    <w:rsid w:val="765AB591"/>
    <w:rsid w:val="768775D6"/>
    <w:rsid w:val="76BFFA7A"/>
    <w:rsid w:val="7733C745"/>
    <w:rsid w:val="776FBAF9"/>
    <w:rsid w:val="77AEC953"/>
    <w:rsid w:val="77EFD426"/>
    <w:rsid w:val="77F605D7"/>
    <w:rsid w:val="77FEBFAF"/>
    <w:rsid w:val="78FEE364"/>
    <w:rsid w:val="79BF9E13"/>
    <w:rsid w:val="79D7DEDD"/>
    <w:rsid w:val="79EBD7AC"/>
    <w:rsid w:val="79FFEE31"/>
    <w:rsid w:val="7B5ABAF5"/>
    <w:rsid w:val="7B67C469"/>
    <w:rsid w:val="7BB27C30"/>
    <w:rsid w:val="7BCBCBBF"/>
    <w:rsid w:val="7BFAACF9"/>
    <w:rsid w:val="7BFB19AC"/>
    <w:rsid w:val="7C4F8638"/>
    <w:rsid w:val="7C9FC5D5"/>
    <w:rsid w:val="7CA90A41"/>
    <w:rsid w:val="7CDDB8E1"/>
    <w:rsid w:val="7D1E0873"/>
    <w:rsid w:val="7D1EC0F1"/>
    <w:rsid w:val="7D3D51DC"/>
    <w:rsid w:val="7D76116F"/>
    <w:rsid w:val="7D9C97A4"/>
    <w:rsid w:val="7DDD4E3A"/>
    <w:rsid w:val="7DDFF2EE"/>
    <w:rsid w:val="7DFFD3A6"/>
    <w:rsid w:val="7EE56F0D"/>
    <w:rsid w:val="7EF8C64C"/>
    <w:rsid w:val="7F29E43A"/>
    <w:rsid w:val="7F3FCD9C"/>
    <w:rsid w:val="7F673BE8"/>
    <w:rsid w:val="7F6EE676"/>
    <w:rsid w:val="7F7A00F9"/>
    <w:rsid w:val="7F7FB59E"/>
    <w:rsid w:val="7F9BBEE7"/>
    <w:rsid w:val="7FBDAB5A"/>
    <w:rsid w:val="7FBF37CE"/>
    <w:rsid w:val="7FCE917D"/>
    <w:rsid w:val="7FDC1E98"/>
    <w:rsid w:val="7FDD962F"/>
    <w:rsid w:val="7FE53D7F"/>
    <w:rsid w:val="7FEB567C"/>
    <w:rsid w:val="7FEB5A9E"/>
    <w:rsid w:val="7FF717B2"/>
    <w:rsid w:val="7FF7B747"/>
    <w:rsid w:val="7FFBA137"/>
    <w:rsid w:val="7FFD4A8E"/>
    <w:rsid w:val="7FFFC89C"/>
    <w:rsid w:val="7FFFD64F"/>
    <w:rsid w:val="8DFF2485"/>
    <w:rsid w:val="973FCAEE"/>
    <w:rsid w:val="9A764DF6"/>
    <w:rsid w:val="9BF9E64E"/>
    <w:rsid w:val="9D4B5CFF"/>
    <w:rsid w:val="9DFFD1B2"/>
    <w:rsid w:val="9FAF70ED"/>
    <w:rsid w:val="9FDF9B9F"/>
    <w:rsid w:val="9FFF4959"/>
    <w:rsid w:val="A3FDD049"/>
    <w:rsid w:val="A77FBE35"/>
    <w:rsid w:val="ADDF43B1"/>
    <w:rsid w:val="AEADCE48"/>
    <w:rsid w:val="B11F2DF9"/>
    <w:rsid w:val="B5E7D19C"/>
    <w:rsid w:val="B5FDFF63"/>
    <w:rsid w:val="B6673596"/>
    <w:rsid w:val="B7B7E391"/>
    <w:rsid w:val="B7FD7C01"/>
    <w:rsid w:val="B93FF256"/>
    <w:rsid w:val="BA7B23C6"/>
    <w:rsid w:val="BA7FF9EE"/>
    <w:rsid w:val="BBD9DE18"/>
    <w:rsid w:val="BBFFED9E"/>
    <w:rsid w:val="BCF62C0F"/>
    <w:rsid w:val="BCFFD24E"/>
    <w:rsid w:val="BDFF5A91"/>
    <w:rsid w:val="BE7EA6B7"/>
    <w:rsid w:val="BE7FC1D1"/>
    <w:rsid w:val="BEFFD012"/>
    <w:rsid w:val="BF8E61E1"/>
    <w:rsid w:val="BFDE5EA2"/>
    <w:rsid w:val="C295DD6A"/>
    <w:rsid w:val="C5AD532E"/>
    <w:rsid w:val="C6CECC63"/>
    <w:rsid w:val="C7668AE4"/>
    <w:rsid w:val="C7EFBD2E"/>
    <w:rsid w:val="C7FEAD4B"/>
    <w:rsid w:val="C7FFEF64"/>
    <w:rsid w:val="CAEE11D7"/>
    <w:rsid w:val="CB2D79D6"/>
    <w:rsid w:val="CB9B0C6E"/>
    <w:rsid w:val="CBDEA8B2"/>
    <w:rsid w:val="CD470B5D"/>
    <w:rsid w:val="CDFB352E"/>
    <w:rsid w:val="CFB7CA2B"/>
    <w:rsid w:val="CFEB64B8"/>
    <w:rsid w:val="D5F73C0B"/>
    <w:rsid w:val="D6D3CCCE"/>
    <w:rsid w:val="D7FF61A7"/>
    <w:rsid w:val="D9BE597B"/>
    <w:rsid w:val="DB18E22F"/>
    <w:rsid w:val="DDBB60EC"/>
    <w:rsid w:val="DDBB70CE"/>
    <w:rsid w:val="DDD3C99E"/>
    <w:rsid w:val="DEDBD8AC"/>
    <w:rsid w:val="DEFF6FF6"/>
    <w:rsid w:val="DFD31E6B"/>
    <w:rsid w:val="DFEB72E5"/>
    <w:rsid w:val="DFF7921E"/>
    <w:rsid w:val="DFFB6BDC"/>
    <w:rsid w:val="DFFE9489"/>
    <w:rsid w:val="DFFF4D6C"/>
    <w:rsid w:val="E4DE0936"/>
    <w:rsid w:val="E5FE1F4D"/>
    <w:rsid w:val="E69B24B0"/>
    <w:rsid w:val="E7FFBB65"/>
    <w:rsid w:val="EB7DCD8B"/>
    <w:rsid w:val="EB9B4240"/>
    <w:rsid w:val="EBAFD55B"/>
    <w:rsid w:val="EDDF486E"/>
    <w:rsid w:val="EEC747BE"/>
    <w:rsid w:val="EF0FA2B2"/>
    <w:rsid w:val="EF37A3C7"/>
    <w:rsid w:val="EF5AE921"/>
    <w:rsid w:val="EF5FE29C"/>
    <w:rsid w:val="EFD6F934"/>
    <w:rsid w:val="EFEF91EA"/>
    <w:rsid w:val="EFEFA130"/>
    <w:rsid w:val="EFF3609A"/>
    <w:rsid w:val="EFF76B44"/>
    <w:rsid w:val="EFF789DD"/>
    <w:rsid w:val="F26D4717"/>
    <w:rsid w:val="F4BD5454"/>
    <w:rsid w:val="F597A8F9"/>
    <w:rsid w:val="F5AECEC2"/>
    <w:rsid w:val="F5BB6ECA"/>
    <w:rsid w:val="F5EF4152"/>
    <w:rsid w:val="F6BBA875"/>
    <w:rsid w:val="F6E84206"/>
    <w:rsid w:val="F6EE4054"/>
    <w:rsid w:val="F6EF0FAA"/>
    <w:rsid w:val="F7130249"/>
    <w:rsid w:val="F72FD5AB"/>
    <w:rsid w:val="F7571BF7"/>
    <w:rsid w:val="F7B62B83"/>
    <w:rsid w:val="F7BEBEF6"/>
    <w:rsid w:val="F9E3BACF"/>
    <w:rsid w:val="F9FF6411"/>
    <w:rsid w:val="FABA2785"/>
    <w:rsid w:val="FAFF60D2"/>
    <w:rsid w:val="FB2DEDEA"/>
    <w:rsid w:val="FBBBF16A"/>
    <w:rsid w:val="FBD7702C"/>
    <w:rsid w:val="FBEB9684"/>
    <w:rsid w:val="FBFB747F"/>
    <w:rsid w:val="FBFCD9B5"/>
    <w:rsid w:val="FC2C59A7"/>
    <w:rsid w:val="FC6B7BAE"/>
    <w:rsid w:val="FC9FFAA0"/>
    <w:rsid w:val="FD6789E1"/>
    <w:rsid w:val="FDF7BD3B"/>
    <w:rsid w:val="FDFDD3B7"/>
    <w:rsid w:val="FE556B1F"/>
    <w:rsid w:val="FE6FA19B"/>
    <w:rsid w:val="FE734873"/>
    <w:rsid w:val="FE97DA5F"/>
    <w:rsid w:val="FEF531DA"/>
    <w:rsid w:val="FF174594"/>
    <w:rsid w:val="FF222591"/>
    <w:rsid w:val="FF3FD2EF"/>
    <w:rsid w:val="FF5B5F07"/>
    <w:rsid w:val="FF5E4631"/>
    <w:rsid w:val="FF758916"/>
    <w:rsid w:val="FF7A56AE"/>
    <w:rsid w:val="FF7FA19E"/>
    <w:rsid w:val="FF7FD016"/>
    <w:rsid w:val="FF9764E5"/>
    <w:rsid w:val="FFB78625"/>
    <w:rsid w:val="FFDFF2B7"/>
    <w:rsid w:val="FFEE2DA1"/>
    <w:rsid w:val="FFEF427E"/>
    <w:rsid w:val="FFF27FAA"/>
    <w:rsid w:val="FFF9AABF"/>
    <w:rsid w:val="FFFBF0E3"/>
    <w:rsid w:val="FFFDD4D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pPr>
      <w:widowControl/>
      <w:spacing w:line="500" w:lineRule="exact"/>
      <w:jc w:val="left"/>
    </w:pPr>
    <w:rPr>
      <w:rFonts w:ascii="仿宋_GB2312" w:hAnsi="宋体" w:eastAsia="仿宋_GB2312"/>
      <w:kern w:val="0"/>
      <w:sz w:val="30"/>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Normal (Web)"/>
    <w:basedOn w:val="1"/>
    <w:qFormat/>
    <w:uiPriority w:val="99"/>
    <w:pPr>
      <w:widowControl/>
      <w:jc w:val="left"/>
    </w:pPr>
    <w:rPr>
      <w:rFonts w:ascii="宋体" w:hAnsi="宋体" w:cs="宋体"/>
      <w:kern w:val="0"/>
      <w:sz w:val="24"/>
    </w:rPr>
  </w:style>
  <w:style w:type="character" w:styleId="7">
    <w:name w:val="Strong"/>
    <w:basedOn w:val="6"/>
    <w:qFormat/>
    <w:uiPriority w:val="0"/>
    <w:rPr>
      <w:b/>
    </w:rPr>
  </w:style>
  <w:style w:type="character" w:styleId="8">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Pages>
  <Words>2931</Words>
  <Characters>3085</Characters>
  <Lines>0</Lines>
  <Paragraphs>0</Paragraphs>
  <TotalTime>2</TotalTime>
  <ScaleCrop>false</ScaleCrop>
  <LinksUpToDate>false</LinksUpToDate>
  <CharactersWithSpaces>3094</CharactersWithSpaces>
  <Application>WPS Office_11.8.2.10505_F1E327BC-269C-435d-A152-05C5408002CA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2021-06-21T09:26:00Z</dcterms:created>
  <dc:creator>sxdx</dc:creator>
  <cp:lastModifiedBy>huawei</cp:lastModifiedBy>
  <cp:lastPrinted>2025-01-22T06:29:00Z</cp:lastPrinted>
  <dcterms:modified xsi:type="dcterms:W3CDTF">2025-01-22T09:42:27Z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2052-11.8.2.10505</vt:lpwstr>
  </property>
  <property fmtid="{D5CDD505-2E9C-101B-9397-08002B2CF9AE}" pid="3" name="ICV">
    <vt:lpwstr>F6E3BC2AF1FD4314B6AAFD258334D0E9</vt:lpwstr>
  </property>
</Properties>
</file>