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EFEAD">
      <w:pPr>
        <w:spacing w:before="156" w:beforeLines="50" w:line="7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bidi="ar"/>
        </w:rPr>
        <w:t>中央结算公司博士后科研工作站2025年度招聘公告</w:t>
      </w:r>
    </w:p>
    <w:p w14:paraId="328AAA72">
      <w:pPr>
        <w:pStyle w:val="6"/>
        <w:widowControl/>
        <w:spacing w:beforeAutospacing="0" w:afterAutospacing="0" w:line="560" w:lineRule="exact"/>
        <w:jc w:val="both"/>
        <w:rPr>
          <w:rFonts w:ascii="仿宋_GB2312" w:hAnsi="Times New Roman" w:eastAsia="仿宋_GB2312"/>
          <w:kern w:val="2"/>
          <w:sz w:val="30"/>
          <w:lang w:bidi="ar"/>
        </w:rPr>
      </w:pPr>
    </w:p>
    <w:p w14:paraId="1217D1B1">
      <w:pPr>
        <w:pStyle w:val="6"/>
        <w:widowControl/>
        <w:spacing w:beforeAutospacing="0" w:afterAutospacing="0" w:line="560" w:lineRule="exact"/>
        <w:ind w:firstLine="640" w:firstLineChars="200"/>
        <w:jc w:val="both"/>
        <w:rPr>
          <w:rFonts w:ascii="仿宋_GB2312" w:hAnsi="Times New Roman" w:eastAsia="仿宋_GB2312"/>
          <w:kern w:val="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kern w:val="2"/>
          <w:sz w:val="32"/>
          <w:szCs w:val="32"/>
          <w:lang w:bidi="ar"/>
        </w:rPr>
        <w:t>中央国债登记结算有限责任公司（以下简称“中央结算公司”）成立于1996年12月，是国务院批准并出资设立的、专门从事金融基础设施事业的中央金融企业。公司忠实履行国家金融基础设施职责，在支持债券市场运行、宏观政策实施、金融基准形成及债市对外开放等方面发挥重要作用。</w:t>
      </w:r>
    </w:p>
    <w:p w14:paraId="734FB500">
      <w:pPr>
        <w:spacing w:line="560" w:lineRule="exact"/>
        <w:ind w:firstLine="640" w:firstLineChars="200"/>
        <w:rPr>
          <w:rFonts w:ascii="黑体" w:hAnsi="宋体" w:eastAsia="黑体" w:cs="黑体"/>
          <w:bCs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中央结算公司博士后科研工作站（以下简称“工作站”）成立于2015年，</w:t>
      </w:r>
      <w:r>
        <w:rPr>
          <w:rFonts w:hint="eastAsia" w:ascii="仿宋_GB2312" w:hAnsi="仿宋_GB2312" w:eastAsia="仿宋_GB2312" w:cs="仿宋_GB2312"/>
          <w:sz w:val="32"/>
          <w:szCs w:val="32"/>
        </w:rPr>
        <w:t>在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人力资源和社会保障部、全国博士后管理委员会博士后工作综合评估中荣获优秀等级。工作站</w:t>
      </w:r>
      <w:r>
        <w:rPr>
          <w:rFonts w:hint="eastAsia" w:ascii="仿宋_GB2312" w:eastAsia="仿宋_GB2312"/>
          <w:sz w:val="32"/>
          <w:szCs w:val="32"/>
        </w:rPr>
        <w:t>致力于服务金融改革、债市创新、金融基础设施发展，成为前瞻性、战略性的特色智库基地。公司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充分发挥专业优势，广泛与中国人民银行金融研究所、清华大学、北京大学、中国人民大学、复旦大学、上海交通大学、上海财经大学等建立合作关系，构建由政府、学界和市场专家组成的专业化、多层次的指导体系，为博士后开展研究提供良好条件。工作站</w:t>
      </w:r>
      <w:r>
        <w:rPr>
          <w:rFonts w:hint="eastAsia" w:ascii="仿宋_GB2312" w:eastAsia="仿宋_GB2312"/>
          <w:sz w:val="32"/>
          <w:szCs w:val="32"/>
        </w:rPr>
        <w:t>设立以来，持续招收博士后研究人员，多人获中国博士后科学基金资助，取得丰硕研究成果。</w:t>
      </w:r>
      <w:r>
        <w:rPr>
          <w:rFonts w:hint="eastAsia" w:ascii="仿宋_GB2312" w:hAnsi="Times New Roman" w:eastAsia="仿宋_GB2312"/>
          <w:sz w:val="32"/>
          <w:szCs w:val="32"/>
          <w:lang w:bidi="ar"/>
        </w:rPr>
        <w:t>现面向海内外招聘2025年度博士后研究人员。有关事项公告如下：</w:t>
      </w:r>
    </w:p>
    <w:p w14:paraId="21D0014E">
      <w:pPr>
        <w:spacing w:line="560" w:lineRule="exact"/>
        <w:ind w:firstLine="640" w:firstLineChars="200"/>
        <w:outlineLvl w:val="0"/>
        <w:rPr>
          <w:rFonts w:ascii="黑体" w:hAnsi="宋体" w:eastAsia="黑体" w:cs="黑体"/>
          <w:bCs/>
          <w:sz w:val="32"/>
          <w:szCs w:val="32"/>
        </w:rPr>
      </w:pPr>
      <w:r>
        <w:rPr>
          <w:rFonts w:hint="eastAsia" w:ascii="黑体" w:hAnsi="宋体" w:eastAsia="黑体" w:cs="黑体"/>
          <w:bCs/>
          <w:sz w:val="32"/>
          <w:szCs w:val="32"/>
          <w:lang w:bidi="ar"/>
        </w:rPr>
        <w:t>一、招收条件</w:t>
      </w:r>
    </w:p>
    <w:p w14:paraId="6377F04F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1.</w:t>
      </w:r>
      <w:r>
        <w:rPr>
          <w:rFonts w:hint="eastAsia" w:ascii="Times New Roman" w:hAnsi="Times New Roman" w:eastAsia="仿宋_GB2312"/>
          <w:sz w:val="32"/>
          <w:szCs w:val="32"/>
          <w:lang w:bidi="ar"/>
        </w:rPr>
        <w:t>具有良好的政治素质和道德修养，遵纪守法，无不良记录；</w:t>
      </w:r>
    </w:p>
    <w:p w14:paraId="6009E76A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2.获得国（境）内外知名高校博士学位3年以内，或将于2025年7月底前取得学位证书的博士研究生；</w:t>
      </w:r>
    </w:p>
    <w:p w14:paraId="54BE4A7A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3.年龄在35周岁以下，身体健康，心理素质稳定；</w:t>
      </w:r>
    </w:p>
    <w:p w14:paraId="5515CEBE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4.具有相关专业背景，具有较强的研究能力、敬业精神和团队合作精神；</w:t>
      </w:r>
    </w:p>
    <w:p w14:paraId="378D2871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5.具备全脱产在本站从事博士后研究工作的条件，服从工作站相关工作安排。</w:t>
      </w:r>
    </w:p>
    <w:p w14:paraId="560D0A95">
      <w:pPr>
        <w:spacing w:line="560" w:lineRule="exact"/>
        <w:ind w:firstLine="640" w:firstLineChars="200"/>
        <w:outlineLvl w:val="0"/>
        <w:rPr>
          <w:rFonts w:ascii="黑体" w:hAnsi="宋体" w:eastAsia="黑体" w:cs="黑体"/>
          <w:bCs/>
          <w:sz w:val="32"/>
          <w:szCs w:val="32"/>
        </w:rPr>
      </w:pPr>
      <w:r>
        <w:rPr>
          <w:rFonts w:hint="eastAsia" w:ascii="黑体" w:hAnsi="宋体" w:eastAsia="黑体" w:cs="黑体"/>
          <w:bCs/>
          <w:sz w:val="32"/>
          <w:szCs w:val="32"/>
          <w:lang w:bidi="ar"/>
        </w:rPr>
        <w:t>二、研究方向</w:t>
      </w:r>
    </w:p>
    <w:p w14:paraId="482874A8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本年度拟招收4名以内博士后研究人员，申请者可从以下选题方向中任选1</w:t>
      </w:r>
      <w:r>
        <w:rPr>
          <w:rFonts w:hint="eastAsia" w:ascii="仿宋_GB2312" w:eastAsia="仿宋_GB2312"/>
          <w:sz w:val="32"/>
          <w:szCs w:val="32"/>
          <w:lang w:bidi="ar"/>
        </w:rPr>
        <w:t>—</w:t>
      </w:r>
      <w:r>
        <w:rPr>
          <w:rFonts w:ascii="仿宋_GB2312" w:hAnsi="Times New Roman" w:eastAsia="仿宋_GB2312"/>
          <w:sz w:val="32"/>
          <w:szCs w:val="32"/>
          <w:lang w:bidi="ar"/>
        </w:rPr>
        <w:t>2</w:t>
      </w:r>
      <w:r>
        <w:rPr>
          <w:rFonts w:hint="eastAsia" w:ascii="仿宋_GB2312" w:hAnsi="Times New Roman" w:eastAsia="仿宋_GB2312"/>
          <w:sz w:val="32"/>
          <w:szCs w:val="32"/>
          <w:lang w:bidi="ar"/>
        </w:rPr>
        <w:t>项申报。</w:t>
      </w:r>
    </w:p>
    <w:p w14:paraId="2F9E2D59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  <w:lang w:bidi="ar"/>
        </w:rPr>
      </w:pPr>
      <w:r>
        <w:rPr>
          <w:rFonts w:hint="eastAsia" w:ascii="仿宋_GB2312" w:eastAsia="仿宋_GB2312"/>
          <w:sz w:val="32"/>
          <w:szCs w:val="32"/>
          <w:lang w:bidi="ar"/>
        </w:rPr>
        <w:t>1.基于债券市场参与者行为的风险监测研究</w:t>
      </w:r>
    </w:p>
    <w:p w14:paraId="076E7B12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  <w:lang w:bidi="ar"/>
        </w:rPr>
      </w:pPr>
      <w:r>
        <w:rPr>
          <w:rFonts w:hint="eastAsia" w:ascii="仿宋_GB2312" w:eastAsia="仿宋_GB2312"/>
          <w:sz w:val="32"/>
          <w:szCs w:val="32"/>
          <w:lang w:bidi="ar"/>
        </w:rPr>
        <w:t>2.金融科技赋能担保品管理的实践与探索研究</w:t>
      </w:r>
    </w:p>
    <w:p w14:paraId="349F4D3A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  <w:lang w:bidi="ar"/>
        </w:rPr>
      </w:pPr>
      <w:r>
        <w:rPr>
          <w:rFonts w:hint="eastAsia" w:ascii="仿宋_GB2312" w:eastAsia="仿宋_GB2312"/>
          <w:sz w:val="32"/>
          <w:szCs w:val="32"/>
          <w:lang w:bidi="ar"/>
        </w:rPr>
        <w:t>3.大类资产配置策略在中债价格指标中的应用</w:t>
      </w:r>
    </w:p>
    <w:p w14:paraId="7011A72D">
      <w:pPr>
        <w:spacing w:line="560" w:lineRule="exact"/>
        <w:ind w:firstLine="640" w:firstLineChars="200"/>
        <w:rPr>
          <w:rFonts w:ascii="仿宋_GB2312" w:eastAsia="仿宋_GB2312"/>
          <w:sz w:val="32"/>
          <w:szCs w:val="32"/>
          <w:lang w:bidi="ar"/>
        </w:rPr>
      </w:pPr>
      <w:r>
        <w:rPr>
          <w:rFonts w:hint="eastAsia" w:ascii="仿宋_GB2312" w:eastAsia="仿宋_GB2312"/>
          <w:sz w:val="32"/>
          <w:szCs w:val="32"/>
          <w:lang w:bidi="ar"/>
        </w:rPr>
        <w:t>4.人工智能技术在债券领域的研究与应用</w:t>
      </w:r>
    </w:p>
    <w:p w14:paraId="5C04FA0E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专业要求方面，方向1—2面向经济、金融、统计、管理、数量经济、数据治理、数据科学等相关专业人员，方向3面向</w:t>
      </w:r>
      <w:r>
        <w:rPr>
          <w:rFonts w:hint="eastAsia" w:ascii="仿宋_GB2312" w:hAnsi="仿宋_GB2312" w:eastAsia="仿宋_GB2312" w:cs="仿宋_GB2312"/>
          <w:sz w:val="32"/>
          <w:szCs w:val="32"/>
        </w:rPr>
        <w:t>经济、金融、统计、数学等相关专业人员，方向4面向</w:t>
      </w:r>
      <w:r>
        <w:rPr>
          <w:rFonts w:hint="eastAsia" w:ascii="仿宋_GB2312" w:hAnsi="仿宋_GB2312" w:eastAsia="仿宋_GB2312" w:cs="仿宋_GB2312"/>
          <w:sz w:val="32"/>
          <w:szCs w:val="32"/>
          <w:lang w:bidi="ar"/>
        </w:rPr>
        <w:t>计算机科学、人工智能、机器学习等相关专业人员。</w:t>
      </w:r>
    </w:p>
    <w:p w14:paraId="287B334B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工作地点方面，方向1、</w:t>
      </w:r>
      <w:r>
        <w:rPr>
          <w:rFonts w:ascii="仿宋_GB2312" w:hAnsi="Times New Roman" w:eastAsia="仿宋_GB2312"/>
          <w:sz w:val="32"/>
          <w:szCs w:val="32"/>
          <w:lang w:bidi="ar"/>
        </w:rPr>
        <w:t>2</w:t>
      </w:r>
      <w:r>
        <w:rPr>
          <w:rFonts w:hint="eastAsia" w:ascii="仿宋_GB2312" w:hAnsi="Times New Roman" w:eastAsia="仿宋_GB2312"/>
          <w:sz w:val="32"/>
          <w:szCs w:val="32"/>
          <w:lang w:bidi="ar"/>
        </w:rPr>
        <w:t>、4在北京，方向3在上海。</w:t>
      </w:r>
    </w:p>
    <w:p w14:paraId="47F2100B">
      <w:pPr>
        <w:spacing w:line="560" w:lineRule="exact"/>
        <w:ind w:firstLine="640" w:firstLineChars="200"/>
        <w:outlineLvl w:val="0"/>
        <w:rPr>
          <w:rFonts w:ascii="黑体" w:hAnsi="宋体" w:eastAsia="黑体" w:cs="黑体"/>
          <w:bCs/>
          <w:sz w:val="32"/>
          <w:szCs w:val="32"/>
        </w:rPr>
      </w:pPr>
      <w:r>
        <w:rPr>
          <w:rFonts w:hint="eastAsia" w:ascii="黑体" w:hAnsi="宋体" w:eastAsia="黑体" w:cs="黑体"/>
          <w:bCs/>
          <w:sz w:val="32"/>
          <w:szCs w:val="32"/>
          <w:lang w:bidi="ar"/>
        </w:rPr>
        <w:t>三、相关待遇</w:t>
      </w:r>
    </w:p>
    <w:p w14:paraId="5A79D566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中央结算公司为博士后研究人员提供良好的研究条件，博士后薪酬标准参照正式员工的岗位级别标准确定，其它待遇按有关规定执行。博士后出站后实行双向选择、自主择业。</w:t>
      </w:r>
    </w:p>
    <w:p w14:paraId="2492015A">
      <w:pPr>
        <w:spacing w:line="560" w:lineRule="exact"/>
        <w:ind w:firstLine="640" w:firstLineChars="200"/>
        <w:outlineLvl w:val="0"/>
        <w:rPr>
          <w:rFonts w:ascii="黑体" w:hAnsi="宋体" w:eastAsia="黑体" w:cs="黑体"/>
          <w:bCs/>
          <w:sz w:val="32"/>
          <w:szCs w:val="32"/>
        </w:rPr>
      </w:pPr>
      <w:r>
        <w:rPr>
          <w:rFonts w:hint="eastAsia" w:ascii="黑体" w:hAnsi="宋体" w:eastAsia="黑体" w:cs="黑体"/>
          <w:bCs/>
          <w:sz w:val="32"/>
          <w:szCs w:val="32"/>
          <w:lang w:bidi="ar"/>
        </w:rPr>
        <w:t>四、报名要求</w:t>
      </w:r>
    </w:p>
    <w:p w14:paraId="4EC302FE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1.有意报名者，请于2024年</w:t>
      </w:r>
      <w:r>
        <w:rPr>
          <w:rFonts w:hint="eastAsia" w:ascii="仿宋_GB2312" w:hAnsi="Times New Roman" w:eastAsia="仿宋_GB2312"/>
          <w:sz w:val="32"/>
          <w:szCs w:val="32"/>
          <w:lang w:val="en-US" w:eastAsia="zh-CN" w:bidi="ar"/>
        </w:rPr>
        <w:t>12</w:t>
      </w:r>
      <w:r>
        <w:rPr>
          <w:rFonts w:hint="eastAsia" w:ascii="仿宋_GB2312" w:hAnsi="Times New Roman" w:eastAsia="仿宋_GB2312"/>
          <w:sz w:val="32"/>
          <w:szCs w:val="32"/>
          <w:lang w:bidi="ar"/>
        </w:rPr>
        <w:t>月</w:t>
      </w:r>
      <w:r>
        <w:rPr>
          <w:rFonts w:hint="eastAsia" w:ascii="仿宋_GB2312" w:hAnsi="Times New Roman" w:eastAsia="仿宋_GB2312"/>
          <w:sz w:val="32"/>
          <w:szCs w:val="32"/>
          <w:lang w:val="en-US" w:eastAsia="zh-CN" w:bidi="ar"/>
        </w:rPr>
        <w:t>5</w:t>
      </w:r>
      <w:bookmarkStart w:id="0" w:name="_GoBack"/>
      <w:bookmarkEnd w:id="0"/>
      <w:r>
        <w:rPr>
          <w:rFonts w:hint="eastAsia" w:ascii="仿宋_GB2312" w:hAnsi="Times New Roman" w:eastAsia="仿宋_GB2312"/>
          <w:sz w:val="32"/>
          <w:szCs w:val="32"/>
          <w:lang w:bidi="ar"/>
        </w:rPr>
        <w:t>日前，登录中央结算公司人才招聘官方网站（ccdc.zhiye.com），注册并填写个人简历，同时上传以下材料作为附件：</w:t>
      </w:r>
    </w:p>
    <w:p w14:paraId="1DA697E2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（1）拟选研究方向的研究思路与计划（字数不限）；</w:t>
      </w:r>
    </w:p>
    <w:p w14:paraId="35416B4F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（2）博士毕业证书和博士学位证书扫描件，或将于2025年博士毕业的证明材料扫描件；</w:t>
      </w:r>
    </w:p>
    <w:p w14:paraId="6CDC2028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（3）博士学位论文电子版（应届毕业生提交初稿或开题报告），两篇学术研究代表作扫描件；</w:t>
      </w:r>
    </w:p>
    <w:p w14:paraId="219525A0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（4）身份证（或护照）扫描件。</w:t>
      </w:r>
    </w:p>
    <w:p w14:paraId="2BA1FE4E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报名者应保证相关信息、材料真实有效，否则将被取消应聘资格。</w:t>
      </w:r>
    </w:p>
    <w:p w14:paraId="61DE067A">
      <w:pPr>
        <w:spacing w:line="560" w:lineRule="exact"/>
        <w:ind w:firstLine="640" w:firstLineChars="200"/>
        <w:rPr>
          <w:rFonts w:ascii="仿宋_GB2312" w:hAnsi="Times New Roman" w:eastAsia="仿宋_GB2312"/>
          <w:sz w:val="32"/>
          <w:szCs w:val="32"/>
          <w:lang w:bidi="ar"/>
        </w:rPr>
      </w:pPr>
      <w:r>
        <w:rPr>
          <w:rFonts w:ascii="仿宋_GB2312" w:hAnsi="Times New Roman" w:eastAsia="仿宋_GB2312"/>
          <w:sz w:val="32"/>
          <w:szCs w:val="32"/>
          <w:lang w:bidi="ar"/>
        </w:rPr>
        <w:t>2.</w:t>
      </w:r>
      <w:r>
        <w:rPr>
          <w:rFonts w:hint="eastAsia" w:ascii="仿宋_GB2312" w:hAnsi="Times New Roman" w:eastAsia="仿宋_GB2312"/>
          <w:sz w:val="32"/>
          <w:szCs w:val="32"/>
          <w:lang w:bidi="ar"/>
        </w:rPr>
        <w:t>工作站按照“公开招收，严格考试，择优录取”的原则招收博士后研究人员。本站对报名者材料进行筛选，择优通知参加笔试、性格测试及面试。笔试、面试考查内容涵盖综合知识、专业知识、英语以及与拟选研究方向相关的理论及应用。相关通知将以短信或邮件（bsh@chinabond.com.cn）发出。</w:t>
      </w:r>
    </w:p>
    <w:p w14:paraId="31800018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联系地址：北京市西城区金融大街33号</w:t>
      </w:r>
    </w:p>
    <w:p w14:paraId="149DDAFD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邮政编码：100033</w:t>
      </w:r>
    </w:p>
    <w:p w14:paraId="5DE9A85C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联系电话：010-88174</w:t>
      </w:r>
      <w:r>
        <w:rPr>
          <w:rFonts w:ascii="仿宋_GB2312" w:hAnsi="Times New Roman" w:eastAsia="仿宋_GB2312"/>
          <w:sz w:val="32"/>
          <w:szCs w:val="32"/>
          <w:lang w:bidi="ar"/>
        </w:rPr>
        <w:t>291</w:t>
      </w:r>
    </w:p>
    <w:p w14:paraId="61FC00BE">
      <w:pPr>
        <w:spacing w:line="560" w:lineRule="exact"/>
        <w:ind w:firstLine="640" w:firstLineChars="200"/>
        <w:rPr>
          <w:rFonts w:hAnsi="Times New Roman"/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网站：www.ccdc.com.cn/www.chinabond.com.cn</w:t>
      </w:r>
    </w:p>
    <w:p w14:paraId="66558013">
      <w:pPr>
        <w:spacing w:line="560" w:lineRule="exact"/>
        <w:ind w:firstLine="640" w:firstLineChars="200"/>
        <w:rPr>
          <w:sz w:val="32"/>
          <w:szCs w:val="32"/>
        </w:rPr>
      </w:pPr>
      <w:r>
        <w:rPr>
          <w:rFonts w:hint="eastAsia" w:ascii="仿宋_GB2312" w:hAnsi="Times New Roman" w:eastAsia="仿宋_GB2312"/>
          <w:sz w:val="32"/>
          <w:szCs w:val="32"/>
          <w:lang w:bidi="ar"/>
        </w:rPr>
        <w:t>欢迎海内外优秀博士研究生到中央结算公司从事博士后研究工作！</w:t>
      </w:r>
    </w:p>
    <w:p w14:paraId="0DEA3373">
      <w:pPr>
        <w:rPr>
          <w:rFonts w:ascii="仿宋_GB2312" w:hAnsi="仿宋" w:eastAsia="仿宋_GB2312" w:cs="仿宋"/>
          <w:kern w:val="0"/>
          <w:sz w:val="36"/>
          <w:szCs w:val="36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5ABD2D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87CD8B">
                          <w:pPr>
                            <w:pStyle w:val="4"/>
                            <w:ind w:right="65" w:rightChars="31" w:firstLine="280" w:firstLineChars="100"/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28"/>
                            </w:rPr>
                            <w:t>- 3 -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987CD8B">
                    <w:pPr>
                      <w:pStyle w:val="4"/>
                      <w:ind w:right="65" w:rightChars="31" w:firstLine="280" w:firstLineChars="100"/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28"/>
                      </w:rPr>
                      <w:t>- 3 -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UzYzEwNjYyMWMxNjg4N2I5NTk3ZmFiNWRhNmQyMzMifQ=="/>
    <w:docVar w:name="KSO_WPS_MARK_KEY" w:val="1717cc3d-a5ef-4bb8-af1f-697cb4a7baa2"/>
  </w:docVars>
  <w:rsids>
    <w:rsidRoot w:val="00172A27"/>
    <w:rsid w:val="000419BD"/>
    <w:rsid w:val="000605BF"/>
    <w:rsid w:val="0007119A"/>
    <w:rsid w:val="00077112"/>
    <w:rsid w:val="00117D5F"/>
    <w:rsid w:val="00134E46"/>
    <w:rsid w:val="00147AEA"/>
    <w:rsid w:val="00172A27"/>
    <w:rsid w:val="0017558B"/>
    <w:rsid w:val="00194111"/>
    <w:rsid w:val="001D196F"/>
    <w:rsid w:val="002344BF"/>
    <w:rsid w:val="0025428D"/>
    <w:rsid w:val="00275DE0"/>
    <w:rsid w:val="0028607D"/>
    <w:rsid w:val="00292659"/>
    <w:rsid w:val="00293C3C"/>
    <w:rsid w:val="002C68A6"/>
    <w:rsid w:val="00324B09"/>
    <w:rsid w:val="003433BF"/>
    <w:rsid w:val="00380300"/>
    <w:rsid w:val="003C36B0"/>
    <w:rsid w:val="003F2186"/>
    <w:rsid w:val="00456CAD"/>
    <w:rsid w:val="004F22CD"/>
    <w:rsid w:val="00517F53"/>
    <w:rsid w:val="00542097"/>
    <w:rsid w:val="0054231D"/>
    <w:rsid w:val="005F53EE"/>
    <w:rsid w:val="0061010E"/>
    <w:rsid w:val="00610246"/>
    <w:rsid w:val="00683DF5"/>
    <w:rsid w:val="006E237D"/>
    <w:rsid w:val="006F0A81"/>
    <w:rsid w:val="0073500F"/>
    <w:rsid w:val="00795476"/>
    <w:rsid w:val="007A10A0"/>
    <w:rsid w:val="008425EC"/>
    <w:rsid w:val="008478C3"/>
    <w:rsid w:val="00876B49"/>
    <w:rsid w:val="00886FC4"/>
    <w:rsid w:val="008D6DDF"/>
    <w:rsid w:val="008F6D30"/>
    <w:rsid w:val="009760CD"/>
    <w:rsid w:val="00996337"/>
    <w:rsid w:val="009A5F42"/>
    <w:rsid w:val="009E0389"/>
    <w:rsid w:val="00A26ED1"/>
    <w:rsid w:val="00A349CB"/>
    <w:rsid w:val="00AC7A4B"/>
    <w:rsid w:val="00AF3269"/>
    <w:rsid w:val="00B2552E"/>
    <w:rsid w:val="00B35774"/>
    <w:rsid w:val="00B555C0"/>
    <w:rsid w:val="00B56B32"/>
    <w:rsid w:val="00BD1AE3"/>
    <w:rsid w:val="00C62C34"/>
    <w:rsid w:val="00CC152D"/>
    <w:rsid w:val="00CD2905"/>
    <w:rsid w:val="00D6196C"/>
    <w:rsid w:val="00D73D61"/>
    <w:rsid w:val="00D96C4B"/>
    <w:rsid w:val="00DE71DE"/>
    <w:rsid w:val="00E7643E"/>
    <w:rsid w:val="00EC05D7"/>
    <w:rsid w:val="00F042C6"/>
    <w:rsid w:val="00F6490B"/>
    <w:rsid w:val="00FA0382"/>
    <w:rsid w:val="00FC031E"/>
    <w:rsid w:val="00FF46E3"/>
    <w:rsid w:val="024A6FD8"/>
    <w:rsid w:val="0362649B"/>
    <w:rsid w:val="036363D4"/>
    <w:rsid w:val="03872230"/>
    <w:rsid w:val="049031F8"/>
    <w:rsid w:val="05365301"/>
    <w:rsid w:val="064B685A"/>
    <w:rsid w:val="06DB482C"/>
    <w:rsid w:val="073845AB"/>
    <w:rsid w:val="07F47DB4"/>
    <w:rsid w:val="08AC79D2"/>
    <w:rsid w:val="095A2369"/>
    <w:rsid w:val="0AF338CE"/>
    <w:rsid w:val="0B043FF8"/>
    <w:rsid w:val="0C3C7966"/>
    <w:rsid w:val="0DB82165"/>
    <w:rsid w:val="0DDF24C9"/>
    <w:rsid w:val="0E843A66"/>
    <w:rsid w:val="0FDC3796"/>
    <w:rsid w:val="115B5AFB"/>
    <w:rsid w:val="12125F7C"/>
    <w:rsid w:val="12982B25"/>
    <w:rsid w:val="13C300A4"/>
    <w:rsid w:val="143B6F3B"/>
    <w:rsid w:val="14651CFA"/>
    <w:rsid w:val="16604D44"/>
    <w:rsid w:val="17456CCC"/>
    <w:rsid w:val="18502CA3"/>
    <w:rsid w:val="186818A2"/>
    <w:rsid w:val="18B825C7"/>
    <w:rsid w:val="19A03A86"/>
    <w:rsid w:val="1A161628"/>
    <w:rsid w:val="1B616581"/>
    <w:rsid w:val="1C0901F7"/>
    <w:rsid w:val="1C1A1DD3"/>
    <w:rsid w:val="1C394ADA"/>
    <w:rsid w:val="1DB71FB0"/>
    <w:rsid w:val="1E0320FE"/>
    <w:rsid w:val="1E05210A"/>
    <w:rsid w:val="1EB8717C"/>
    <w:rsid w:val="1F532BE1"/>
    <w:rsid w:val="1FD5386C"/>
    <w:rsid w:val="1FEC076E"/>
    <w:rsid w:val="20673DBB"/>
    <w:rsid w:val="20C52024"/>
    <w:rsid w:val="21290EA1"/>
    <w:rsid w:val="218B501C"/>
    <w:rsid w:val="23B0767E"/>
    <w:rsid w:val="248A7222"/>
    <w:rsid w:val="26614DF1"/>
    <w:rsid w:val="26EA3650"/>
    <w:rsid w:val="279719F9"/>
    <w:rsid w:val="285A69A0"/>
    <w:rsid w:val="29120A3E"/>
    <w:rsid w:val="29E00643"/>
    <w:rsid w:val="2A0971A3"/>
    <w:rsid w:val="2D015D20"/>
    <w:rsid w:val="2F072C79"/>
    <w:rsid w:val="2F972DDE"/>
    <w:rsid w:val="31490736"/>
    <w:rsid w:val="33BC29BE"/>
    <w:rsid w:val="34CE72A2"/>
    <w:rsid w:val="35064C8D"/>
    <w:rsid w:val="35C02C5D"/>
    <w:rsid w:val="360A2438"/>
    <w:rsid w:val="36631C6B"/>
    <w:rsid w:val="368E66F9"/>
    <w:rsid w:val="37BE78F2"/>
    <w:rsid w:val="37EA43F2"/>
    <w:rsid w:val="38995F6A"/>
    <w:rsid w:val="3A571AE7"/>
    <w:rsid w:val="3C75753F"/>
    <w:rsid w:val="3CB44AA5"/>
    <w:rsid w:val="3CCC34A3"/>
    <w:rsid w:val="3DA86637"/>
    <w:rsid w:val="3DBD7EB3"/>
    <w:rsid w:val="3DEA0780"/>
    <w:rsid w:val="3F051B12"/>
    <w:rsid w:val="3F44707C"/>
    <w:rsid w:val="40203E38"/>
    <w:rsid w:val="407C22A8"/>
    <w:rsid w:val="410F6C78"/>
    <w:rsid w:val="41322966"/>
    <w:rsid w:val="414140A7"/>
    <w:rsid w:val="41894FD4"/>
    <w:rsid w:val="434A668D"/>
    <w:rsid w:val="43855F5E"/>
    <w:rsid w:val="4601469B"/>
    <w:rsid w:val="4691012F"/>
    <w:rsid w:val="47286DC3"/>
    <w:rsid w:val="48723547"/>
    <w:rsid w:val="48F463B1"/>
    <w:rsid w:val="496A2F12"/>
    <w:rsid w:val="4A395915"/>
    <w:rsid w:val="4AFA44F5"/>
    <w:rsid w:val="4AFD108A"/>
    <w:rsid w:val="4B5160DF"/>
    <w:rsid w:val="4B9B7997"/>
    <w:rsid w:val="4C0150AE"/>
    <w:rsid w:val="4D6203F9"/>
    <w:rsid w:val="4D9914FF"/>
    <w:rsid w:val="4F31425D"/>
    <w:rsid w:val="521324F3"/>
    <w:rsid w:val="52171E30"/>
    <w:rsid w:val="52CD3771"/>
    <w:rsid w:val="54A92AE8"/>
    <w:rsid w:val="560A5655"/>
    <w:rsid w:val="567F61F6"/>
    <w:rsid w:val="58AB32D2"/>
    <w:rsid w:val="5A8237C3"/>
    <w:rsid w:val="5B4E455A"/>
    <w:rsid w:val="5ECC424E"/>
    <w:rsid w:val="5F245E25"/>
    <w:rsid w:val="5F2C7A72"/>
    <w:rsid w:val="61216514"/>
    <w:rsid w:val="6189617B"/>
    <w:rsid w:val="61C43D75"/>
    <w:rsid w:val="63761043"/>
    <w:rsid w:val="63D37050"/>
    <w:rsid w:val="647A6C66"/>
    <w:rsid w:val="651C4271"/>
    <w:rsid w:val="65D203AB"/>
    <w:rsid w:val="65FD3F9C"/>
    <w:rsid w:val="67BA72CA"/>
    <w:rsid w:val="688040D8"/>
    <w:rsid w:val="6B011DD2"/>
    <w:rsid w:val="6B1765A5"/>
    <w:rsid w:val="6BA124FF"/>
    <w:rsid w:val="6BDA557E"/>
    <w:rsid w:val="6DBF5765"/>
    <w:rsid w:val="6F024290"/>
    <w:rsid w:val="6F067BD4"/>
    <w:rsid w:val="6F114A9B"/>
    <w:rsid w:val="6FF86796"/>
    <w:rsid w:val="722C6DDA"/>
    <w:rsid w:val="7399224D"/>
    <w:rsid w:val="7428537F"/>
    <w:rsid w:val="748E1F27"/>
    <w:rsid w:val="749F7C14"/>
    <w:rsid w:val="74CE44FB"/>
    <w:rsid w:val="75726587"/>
    <w:rsid w:val="757271FA"/>
    <w:rsid w:val="78170602"/>
    <w:rsid w:val="79F20062"/>
    <w:rsid w:val="7A167A27"/>
    <w:rsid w:val="7AE0459E"/>
    <w:rsid w:val="7B126BE2"/>
    <w:rsid w:val="7B2C2BB5"/>
    <w:rsid w:val="7CCE0550"/>
    <w:rsid w:val="7E296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4"/>
    <w:unhideWhenUsed/>
    <w:qFormat/>
    <w:uiPriority w:val="0"/>
    <w:pPr>
      <w:jc w:val="left"/>
    </w:p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7">
    <w:name w:val="annotation subject"/>
    <w:basedOn w:val="2"/>
    <w:next w:val="2"/>
    <w:link w:val="15"/>
    <w:unhideWhenUsed/>
    <w:qFormat/>
    <w:uiPriority w:val="0"/>
    <w:rPr>
      <w:b/>
      <w:bCs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unhideWhenUsed/>
    <w:qFormat/>
    <w:uiPriority w:val="0"/>
    <w:rPr>
      <w:sz w:val="21"/>
      <w:szCs w:val="21"/>
    </w:rPr>
  </w:style>
  <w:style w:type="character" w:customStyle="1" w:styleId="12">
    <w:name w:val="批注框文本 字符"/>
    <w:basedOn w:val="10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3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4">
    <w:name w:val="批注文字 字符"/>
    <w:basedOn w:val="10"/>
    <w:link w:val="2"/>
    <w:semiHidden/>
    <w:qFormat/>
    <w:uiPriority w:val="0"/>
    <w:rPr>
      <w:rFonts w:ascii="Calibri" w:hAnsi="Calibri" w:eastAsia="宋体" w:cs="Times New Roman"/>
      <w:kern w:val="2"/>
      <w:sz w:val="21"/>
      <w:szCs w:val="24"/>
    </w:rPr>
  </w:style>
  <w:style w:type="character" w:customStyle="1" w:styleId="15">
    <w:name w:val="批注主题 字符"/>
    <w:basedOn w:val="14"/>
    <w:link w:val="7"/>
    <w:semiHidden/>
    <w:qFormat/>
    <w:uiPriority w:val="0"/>
    <w:rPr>
      <w:rFonts w:ascii="Calibri" w:hAnsi="Calibri" w:eastAsia="宋体" w:cs="Times New Roman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2594</Words>
  <Characters>381</Characters>
  <Lines>3</Lines>
  <Paragraphs>5</Paragraphs>
  <TotalTime>4</TotalTime>
  <ScaleCrop>false</ScaleCrop>
  <LinksUpToDate>false</LinksUpToDate>
  <CharactersWithSpaces>2970</CharactersWithSpaces>
  <Application>WPS Office_12.8.2.18205_F1E327BC-269C-435d-A152-05C5408002CA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2024-10-24T07:38:00Z</dcterms:created>
  <dc:creator>张轶龙</dc:creator>
  <cp:lastModifiedBy>仇宇</cp:lastModifiedBy>
  <cp:lastPrinted>2024-10-25T01:28:00Z</cp:lastPrinted>
  <dcterms:modified xsi:type="dcterms:W3CDTF">2024-11-21T08:44:09Z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2052-12.8.2.18205</vt:lpwstr>
  </property>
  <property fmtid="{D5CDD505-2E9C-101B-9397-08002B2CF9AE}" pid="3" name="ICV">
    <vt:lpwstr>1C0E73BD83024BA8A0E486CBFEF88F66</vt:lpwstr>
  </property>
</Properties>
</file>