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AAC2B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right="0"/>
        <w:jc w:val="center"/>
        <w:textAlignment w:val="auto"/>
        <w:rPr>
          <w:rFonts w:hint="eastAsia" w:ascii="方正小标宋简体" w:hAnsi="方正小标宋简体" w:eastAsia="方正小标宋简体" w:cs="方正小标宋简体"/>
          <w:b w:val="0"/>
          <w:bCs w:val="0"/>
          <w:sz w:val="44"/>
          <w:szCs w:val="44"/>
          <w:lang w:val="en-US" w:eastAsia="zh-CN"/>
        </w:rPr>
      </w:pPr>
      <w:bookmarkStart w:id="0" w:name="_GoBack"/>
      <w:r>
        <w:rPr>
          <w:rFonts w:hint="eastAsia" w:ascii="方正小标宋简体" w:hAnsi="方正小标宋简体" w:eastAsia="方正小标宋简体" w:cs="方正小标宋简体"/>
          <w:b w:val="0"/>
          <w:bCs w:val="0"/>
          <w:sz w:val="44"/>
          <w:szCs w:val="44"/>
          <w:lang w:eastAsia="zh-CN"/>
        </w:rPr>
        <w:t>忻州市第一中学校</w:t>
      </w:r>
      <w:r>
        <w:rPr>
          <w:rFonts w:hint="eastAsia" w:ascii="方正小标宋简体" w:hAnsi="方正小标宋简体" w:eastAsia="方正小标宋简体" w:cs="方正小标宋简体"/>
          <w:b w:val="0"/>
          <w:bCs w:val="0"/>
          <w:sz w:val="44"/>
          <w:szCs w:val="44"/>
          <w:lang w:val="en-US" w:eastAsia="zh-CN"/>
        </w:rPr>
        <w:t>2025年校园招聘教师公告</w:t>
      </w:r>
    </w:p>
    <w:bookmarkEnd w:id="0"/>
    <w:p w14:paraId="492D190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right="0"/>
        <w:jc w:val="center"/>
        <w:textAlignment w:val="auto"/>
        <w:rPr>
          <w:rFonts w:hint="eastAsia" w:ascii="方正小标宋简体" w:hAnsi="方正小标宋简体" w:eastAsia="方正小标宋简体" w:cs="方正小标宋简体"/>
          <w:b w:val="0"/>
          <w:bCs w:val="0"/>
          <w:sz w:val="44"/>
          <w:szCs w:val="44"/>
          <w:lang w:val="en-US" w:eastAsia="zh-CN"/>
        </w:rPr>
      </w:pPr>
    </w:p>
    <w:p w14:paraId="30FEA01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按照事业单位公开招聘工作人员有关文件规定，根据增人计划和招聘单位编制、岗位空缺及教师队伍结构情况，经市委、市政府同意，通过校园招聘方式，面向全国高等院校2025年硕士研究生及以上学历学位的应届毕业生（含公费师范生，不含定向及委培生），为忻州市第一中学校招聘教师14名，现公告如下：</w:t>
      </w:r>
    </w:p>
    <w:p w14:paraId="5F1480E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黑体" w:hAnsi="黑体" w:eastAsia="黑体" w:cs="黑体"/>
          <w:b w:val="0"/>
          <w:bCs w:val="0"/>
          <w:sz w:val="32"/>
          <w:szCs w:val="32"/>
        </w:rPr>
      </w:pPr>
      <w:r>
        <w:rPr>
          <w:rStyle w:val="6"/>
          <w:rFonts w:hint="eastAsia" w:ascii="黑体" w:hAnsi="黑体" w:eastAsia="黑体" w:cs="黑体"/>
          <w:b w:val="0"/>
          <w:bCs w:val="0"/>
          <w:sz w:val="32"/>
          <w:szCs w:val="32"/>
        </w:rPr>
        <w:t>一、学校简介</w:t>
      </w:r>
    </w:p>
    <w:p w14:paraId="225EA46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忻州市第一中学校是一所国有公办、全额财政拨款的公益性事业单位，是山西省重点中学和首批示范性高中。学校办学成绩骄人，教育教学质量享誉三晋。</w:t>
      </w:r>
    </w:p>
    <w:p w14:paraId="6088006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单位地址：山西省忻府区和平中街8号。邮编：034000</w:t>
      </w:r>
    </w:p>
    <w:p w14:paraId="285C22E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left"/>
        <w:textAlignment w:val="auto"/>
        <w:rPr>
          <w:rStyle w:val="6"/>
          <w:rFonts w:hint="eastAsia" w:ascii="黑体" w:hAnsi="黑体" w:eastAsia="黑体" w:cs="黑体"/>
          <w:b w:val="0"/>
          <w:bCs w:val="0"/>
          <w:sz w:val="32"/>
          <w:szCs w:val="32"/>
        </w:rPr>
      </w:pPr>
      <w:r>
        <w:rPr>
          <w:rStyle w:val="6"/>
          <w:rFonts w:hint="eastAsia" w:ascii="黑体" w:hAnsi="黑体" w:eastAsia="黑体" w:cs="黑体"/>
          <w:b w:val="0"/>
          <w:bCs w:val="0"/>
          <w:sz w:val="32"/>
          <w:szCs w:val="32"/>
        </w:rPr>
        <w:t>二、信息发布</w:t>
      </w:r>
    </w:p>
    <w:p w14:paraId="69E8DA6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本次招聘教师公告通过山西省人力资源和社会保障厅网站（http://rst.shanxi.gov.cn）、忻州市人力资源和社会保障局人事考试专栏（http://rsj.sxxz.gov.cn/rsks）、忻州市教育局网站（https://jyj.sxxz.gov.cn）、忻州市第一中学校网站（sxxzyz.30edu.com.cn）及微信公众号和招聘院校就业网发布。</w:t>
      </w:r>
    </w:p>
    <w:p w14:paraId="2C4B169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p>
    <w:p w14:paraId="40F665A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p>
    <w:p w14:paraId="46A9CD6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p>
    <w:p w14:paraId="6A9A065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p>
    <w:p w14:paraId="4FCA8FB9">
      <w:pPr>
        <w:pStyle w:val="2"/>
        <w:keepNext w:val="0"/>
        <w:keepLines w:val="0"/>
        <w:pageBreakBefore w:val="0"/>
        <w:widowControl/>
        <w:numPr>
          <w:ilvl w:val="0"/>
          <w:numId w:val="1"/>
        </w:numPr>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left"/>
        <w:textAlignment w:val="auto"/>
        <w:rPr>
          <w:rStyle w:val="6"/>
          <w:rFonts w:hint="eastAsia" w:ascii="黑体" w:hAnsi="黑体" w:eastAsia="黑体" w:cs="黑体"/>
          <w:b w:val="0"/>
          <w:bCs w:val="0"/>
          <w:sz w:val="32"/>
          <w:szCs w:val="32"/>
        </w:rPr>
      </w:pPr>
      <w:r>
        <w:rPr>
          <w:rStyle w:val="6"/>
          <w:rFonts w:hint="eastAsia" w:ascii="黑体" w:hAnsi="黑体" w:eastAsia="黑体" w:cs="黑体"/>
          <w:b w:val="0"/>
          <w:bCs w:val="0"/>
          <w:sz w:val="32"/>
          <w:szCs w:val="32"/>
        </w:rPr>
        <w:t>招聘岗位及名额</w:t>
      </w:r>
    </w:p>
    <w:tbl>
      <w:tblPr>
        <w:tblW w:w="97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1239"/>
        <w:gridCol w:w="1118"/>
        <w:gridCol w:w="1174"/>
        <w:gridCol w:w="1065"/>
        <w:gridCol w:w="1545"/>
        <w:gridCol w:w="2550"/>
        <w:gridCol w:w="1065"/>
      </w:tblGrid>
      <w:tr w14:paraId="0931A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jc w:val="center"/>
        </w:trPr>
        <w:tc>
          <w:tcPr>
            <w:tcW w:w="1239" w:type="dxa"/>
            <w:tcBorders>
              <w:top w:val="single" w:color="000000" w:sz="4" w:space="0"/>
              <w:left w:val="single" w:color="000000" w:sz="4" w:space="0"/>
              <w:bottom w:val="single" w:color="000000" w:sz="4" w:space="0"/>
              <w:right w:val="single" w:color="000000" w:sz="4" w:space="0"/>
            </w:tcBorders>
            <w:shd w:val="clear"/>
            <w:noWrap/>
            <w:vAlign w:val="center"/>
          </w:tcPr>
          <w:p w14:paraId="0515972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主管部门</w:t>
            </w:r>
          </w:p>
        </w:tc>
        <w:tc>
          <w:tcPr>
            <w:tcW w:w="1118" w:type="dxa"/>
            <w:tcBorders>
              <w:top w:val="single" w:color="000000" w:sz="4" w:space="0"/>
              <w:left w:val="single" w:color="000000" w:sz="4" w:space="0"/>
              <w:bottom w:val="single" w:color="000000" w:sz="4" w:space="0"/>
              <w:right w:val="single" w:color="000000" w:sz="4" w:space="0"/>
            </w:tcBorders>
            <w:shd w:val="clear"/>
            <w:noWrap/>
            <w:vAlign w:val="center"/>
          </w:tcPr>
          <w:p w14:paraId="7485AF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招聘单位</w:t>
            </w:r>
          </w:p>
        </w:tc>
        <w:tc>
          <w:tcPr>
            <w:tcW w:w="1174" w:type="dxa"/>
            <w:tcBorders>
              <w:top w:val="single" w:color="000000" w:sz="4" w:space="0"/>
              <w:left w:val="single" w:color="000000" w:sz="4" w:space="0"/>
              <w:bottom w:val="single" w:color="000000" w:sz="4" w:space="0"/>
              <w:right w:val="single" w:color="000000" w:sz="4" w:space="0"/>
            </w:tcBorders>
            <w:shd w:val="clear"/>
            <w:noWrap/>
            <w:vAlign w:val="center"/>
          </w:tcPr>
          <w:p w14:paraId="7386055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单位性质</w:t>
            </w: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480F471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岗位代码</w:t>
            </w:r>
          </w:p>
        </w:tc>
        <w:tc>
          <w:tcPr>
            <w:tcW w:w="1545" w:type="dxa"/>
            <w:tcBorders>
              <w:top w:val="single" w:color="000000" w:sz="4" w:space="0"/>
              <w:left w:val="single" w:color="000000" w:sz="4" w:space="0"/>
              <w:bottom w:val="single" w:color="000000" w:sz="4" w:space="0"/>
              <w:right w:val="single" w:color="000000" w:sz="4" w:space="0"/>
            </w:tcBorders>
            <w:shd w:val="clear"/>
            <w:noWrap/>
            <w:vAlign w:val="center"/>
          </w:tcPr>
          <w:p w14:paraId="184A0D0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岗位名称</w:t>
            </w:r>
          </w:p>
        </w:tc>
        <w:tc>
          <w:tcPr>
            <w:tcW w:w="2550" w:type="dxa"/>
            <w:tcBorders>
              <w:top w:val="single" w:color="000000" w:sz="4" w:space="0"/>
              <w:left w:val="single" w:color="000000" w:sz="4" w:space="0"/>
              <w:bottom w:val="single" w:color="000000" w:sz="4" w:space="0"/>
              <w:right w:val="single" w:color="000000" w:sz="4" w:space="0"/>
            </w:tcBorders>
            <w:shd w:val="clear"/>
            <w:noWrap/>
            <w:vAlign w:val="center"/>
          </w:tcPr>
          <w:p w14:paraId="26A74BB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专业要求</w:t>
            </w: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28DC5B6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招聘名额</w:t>
            </w:r>
          </w:p>
        </w:tc>
      </w:tr>
      <w:tr w14:paraId="60525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39" w:type="dxa"/>
            <w:vMerge w:val="restart"/>
            <w:tcBorders>
              <w:top w:val="single" w:color="000000" w:sz="4" w:space="0"/>
              <w:left w:val="single" w:color="000000" w:sz="4" w:space="0"/>
              <w:bottom w:val="single" w:color="000000" w:sz="4" w:space="0"/>
              <w:right w:val="single" w:color="000000" w:sz="4" w:space="0"/>
            </w:tcBorders>
            <w:shd w:val="clear"/>
            <w:noWrap/>
            <w:textDirection w:val="tbLrV"/>
            <w:vAlign w:val="center"/>
          </w:tcPr>
          <w:p w14:paraId="1D5C772E">
            <w:pPr>
              <w:keepNext w:val="0"/>
              <w:keepLines w:val="0"/>
              <w:widowControl/>
              <w:suppressLineNumbers w:val="0"/>
              <w:ind w:left="113" w:right="113"/>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忻州市教育局</w:t>
            </w:r>
          </w:p>
        </w:tc>
        <w:tc>
          <w:tcPr>
            <w:tcW w:w="1118" w:type="dxa"/>
            <w:vMerge w:val="restart"/>
            <w:tcBorders>
              <w:top w:val="single" w:color="000000" w:sz="4" w:space="0"/>
              <w:left w:val="single" w:color="000000" w:sz="4" w:space="0"/>
              <w:bottom w:val="single" w:color="000000" w:sz="4" w:space="0"/>
              <w:right w:val="single" w:color="000000" w:sz="4" w:space="0"/>
            </w:tcBorders>
            <w:shd w:val="clear"/>
            <w:noWrap/>
            <w:textDirection w:val="tbLrV"/>
            <w:vAlign w:val="center"/>
          </w:tcPr>
          <w:p w14:paraId="21A931EC">
            <w:pPr>
              <w:keepNext w:val="0"/>
              <w:keepLines w:val="0"/>
              <w:widowControl/>
              <w:suppressLineNumbers w:val="0"/>
              <w:ind w:left="113" w:right="113"/>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忻州市第一中学校</w:t>
            </w:r>
          </w:p>
        </w:tc>
        <w:tc>
          <w:tcPr>
            <w:tcW w:w="1174" w:type="dxa"/>
            <w:vMerge w:val="restart"/>
            <w:tcBorders>
              <w:top w:val="single" w:color="000000" w:sz="4" w:space="0"/>
              <w:left w:val="single" w:color="000000" w:sz="4" w:space="0"/>
              <w:bottom w:val="single" w:color="000000" w:sz="4" w:space="0"/>
              <w:right w:val="single" w:color="000000" w:sz="4" w:space="0"/>
            </w:tcBorders>
            <w:shd w:val="clear"/>
            <w:noWrap/>
            <w:textDirection w:val="tbLrV"/>
            <w:vAlign w:val="center"/>
          </w:tcPr>
          <w:p w14:paraId="448A0417">
            <w:pPr>
              <w:keepNext w:val="0"/>
              <w:keepLines w:val="0"/>
              <w:widowControl/>
              <w:suppressLineNumbers w:val="0"/>
              <w:ind w:left="113" w:right="113"/>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全额事业</w:t>
            </w: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73DBE95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1</w:t>
            </w:r>
          </w:p>
        </w:tc>
        <w:tc>
          <w:tcPr>
            <w:tcW w:w="1545" w:type="dxa"/>
            <w:tcBorders>
              <w:top w:val="single" w:color="000000" w:sz="4" w:space="0"/>
              <w:left w:val="single" w:color="000000" w:sz="4" w:space="0"/>
              <w:bottom w:val="single" w:color="000000" w:sz="4" w:space="0"/>
              <w:right w:val="single" w:color="000000" w:sz="4" w:space="0"/>
            </w:tcBorders>
            <w:shd w:val="clear"/>
            <w:noWrap/>
            <w:vAlign w:val="center"/>
          </w:tcPr>
          <w:p w14:paraId="2266869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物理教师</w:t>
            </w:r>
          </w:p>
        </w:tc>
        <w:tc>
          <w:tcPr>
            <w:tcW w:w="2550" w:type="dxa"/>
            <w:tcBorders>
              <w:top w:val="single" w:color="000000" w:sz="4" w:space="0"/>
              <w:left w:val="single" w:color="000000" w:sz="4" w:space="0"/>
              <w:bottom w:val="single" w:color="000000" w:sz="4" w:space="0"/>
              <w:right w:val="single" w:color="000000" w:sz="4" w:space="0"/>
            </w:tcBorders>
            <w:shd w:val="clear"/>
            <w:noWrap/>
            <w:vAlign w:val="center"/>
          </w:tcPr>
          <w:p w14:paraId="0D0CB75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物理学及相关专业</w:t>
            </w: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48B81F5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1</w:t>
            </w:r>
          </w:p>
        </w:tc>
      </w:tr>
      <w:tr w14:paraId="5F522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3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067784A9">
            <w:pPr>
              <w:jc w:val="center"/>
              <w:rPr>
                <w:rFonts w:hint="eastAsia" w:ascii="仿宋" w:hAnsi="仿宋" w:eastAsia="仿宋" w:cs="仿宋"/>
                <w:i w:val="0"/>
                <w:iCs w:val="0"/>
                <w:color w:val="000000"/>
                <w:sz w:val="21"/>
                <w:szCs w:val="21"/>
                <w:u w:val="none"/>
              </w:rPr>
            </w:pPr>
          </w:p>
        </w:tc>
        <w:tc>
          <w:tcPr>
            <w:tcW w:w="1118"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690A2AC9">
            <w:pPr>
              <w:jc w:val="center"/>
              <w:rPr>
                <w:rFonts w:hint="eastAsia" w:ascii="仿宋" w:hAnsi="仿宋" w:eastAsia="仿宋" w:cs="仿宋"/>
                <w:i w:val="0"/>
                <w:iCs w:val="0"/>
                <w:color w:val="000000"/>
                <w:sz w:val="21"/>
                <w:szCs w:val="21"/>
                <w:u w:val="none"/>
              </w:rPr>
            </w:pPr>
          </w:p>
        </w:tc>
        <w:tc>
          <w:tcPr>
            <w:tcW w:w="1174"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00A58766">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49FDF9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2</w:t>
            </w:r>
          </w:p>
        </w:tc>
        <w:tc>
          <w:tcPr>
            <w:tcW w:w="1545" w:type="dxa"/>
            <w:tcBorders>
              <w:top w:val="single" w:color="000000" w:sz="4" w:space="0"/>
              <w:left w:val="single" w:color="000000" w:sz="4" w:space="0"/>
              <w:bottom w:val="single" w:color="000000" w:sz="4" w:space="0"/>
              <w:right w:val="single" w:color="000000" w:sz="4" w:space="0"/>
            </w:tcBorders>
            <w:shd w:val="clear"/>
            <w:noWrap/>
            <w:vAlign w:val="center"/>
          </w:tcPr>
          <w:p w14:paraId="625131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生物教师</w:t>
            </w:r>
          </w:p>
        </w:tc>
        <w:tc>
          <w:tcPr>
            <w:tcW w:w="2550" w:type="dxa"/>
            <w:tcBorders>
              <w:top w:val="single" w:color="000000" w:sz="4" w:space="0"/>
              <w:left w:val="single" w:color="000000" w:sz="4" w:space="0"/>
              <w:bottom w:val="single" w:color="000000" w:sz="4" w:space="0"/>
              <w:right w:val="single" w:color="000000" w:sz="4" w:space="0"/>
            </w:tcBorders>
            <w:shd w:val="clear"/>
            <w:noWrap/>
            <w:vAlign w:val="center"/>
          </w:tcPr>
          <w:p w14:paraId="0D12B9F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生物学及相关专业</w:t>
            </w: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2EB191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2</w:t>
            </w:r>
          </w:p>
        </w:tc>
      </w:tr>
      <w:tr w14:paraId="5D9B1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3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6C42DD78">
            <w:pPr>
              <w:jc w:val="center"/>
              <w:rPr>
                <w:rFonts w:hint="eastAsia" w:ascii="仿宋" w:hAnsi="仿宋" w:eastAsia="仿宋" w:cs="仿宋"/>
                <w:i w:val="0"/>
                <w:iCs w:val="0"/>
                <w:color w:val="000000"/>
                <w:sz w:val="21"/>
                <w:szCs w:val="21"/>
                <w:u w:val="none"/>
              </w:rPr>
            </w:pPr>
          </w:p>
        </w:tc>
        <w:tc>
          <w:tcPr>
            <w:tcW w:w="1118"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4B2FD5BD">
            <w:pPr>
              <w:jc w:val="center"/>
              <w:rPr>
                <w:rFonts w:hint="eastAsia" w:ascii="仿宋" w:hAnsi="仿宋" w:eastAsia="仿宋" w:cs="仿宋"/>
                <w:i w:val="0"/>
                <w:iCs w:val="0"/>
                <w:color w:val="000000"/>
                <w:sz w:val="21"/>
                <w:szCs w:val="21"/>
                <w:u w:val="none"/>
              </w:rPr>
            </w:pPr>
          </w:p>
        </w:tc>
        <w:tc>
          <w:tcPr>
            <w:tcW w:w="1174"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548C6219">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40F032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3</w:t>
            </w:r>
          </w:p>
        </w:tc>
        <w:tc>
          <w:tcPr>
            <w:tcW w:w="1545" w:type="dxa"/>
            <w:tcBorders>
              <w:top w:val="single" w:color="000000" w:sz="4" w:space="0"/>
              <w:left w:val="single" w:color="000000" w:sz="4" w:space="0"/>
              <w:bottom w:val="single" w:color="000000" w:sz="4" w:space="0"/>
              <w:right w:val="single" w:color="000000" w:sz="4" w:space="0"/>
            </w:tcBorders>
            <w:shd w:val="clear"/>
            <w:noWrap/>
            <w:vAlign w:val="center"/>
          </w:tcPr>
          <w:p w14:paraId="35FB19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信息技术教师</w:t>
            </w:r>
          </w:p>
        </w:tc>
        <w:tc>
          <w:tcPr>
            <w:tcW w:w="2550" w:type="dxa"/>
            <w:tcBorders>
              <w:top w:val="single" w:color="000000" w:sz="4" w:space="0"/>
              <w:left w:val="single" w:color="000000" w:sz="4" w:space="0"/>
              <w:bottom w:val="single" w:color="000000" w:sz="4" w:space="0"/>
              <w:right w:val="single" w:color="000000" w:sz="4" w:space="0"/>
            </w:tcBorders>
            <w:shd w:val="clear"/>
            <w:noWrap/>
            <w:vAlign w:val="center"/>
          </w:tcPr>
          <w:p w14:paraId="447C37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信息技术及相关专业</w:t>
            </w: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62BD2D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1</w:t>
            </w:r>
          </w:p>
        </w:tc>
      </w:tr>
      <w:tr w14:paraId="28EF5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3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073EED8C">
            <w:pPr>
              <w:jc w:val="center"/>
              <w:rPr>
                <w:rFonts w:hint="eastAsia" w:ascii="仿宋" w:hAnsi="仿宋" w:eastAsia="仿宋" w:cs="仿宋"/>
                <w:i w:val="0"/>
                <w:iCs w:val="0"/>
                <w:color w:val="000000"/>
                <w:sz w:val="21"/>
                <w:szCs w:val="21"/>
                <w:u w:val="none"/>
              </w:rPr>
            </w:pPr>
          </w:p>
        </w:tc>
        <w:tc>
          <w:tcPr>
            <w:tcW w:w="1118"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42D92945">
            <w:pPr>
              <w:jc w:val="center"/>
              <w:rPr>
                <w:rFonts w:hint="eastAsia" w:ascii="仿宋" w:hAnsi="仿宋" w:eastAsia="仿宋" w:cs="仿宋"/>
                <w:i w:val="0"/>
                <w:iCs w:val="0"/>
                <w:color w:val="000000"/>
                <w:sz w:val="21"/>
                <w:szCs w:val="21"/>
                <w:u w:val="none"/>
              </w:rPr>
            </w:pPr>
          </w:p>
        </w:tc>
        <w:tc>
          <w:tcPr>
            <w:tcW w:w="1174"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35341F83">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067AF9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4</w:t>
            </w:r>
          </w:p>
        </w:tc>
        <w:tc>
          <w:tcPr>
            <w:tcW w:w="1545" w:type="dxa"/>
            <w:tcBorders>
              <w:top w:val="single" w:color="000000" w:sz="4" w:space="0"/>
              <w:left w:val="single" w:color="000000" w:sz="4" w:space="0"/>
              <w:bottom w:val="single" w:color="000000" w:sz="4" w:space="0"/>
              <w:right w:val="single" w:color="000000" w:sz="4" w:space="0"/>
            </w:tcBorders>
            <w:shd w:val="clear"/>
            <w:noWrap/>
            <w:vAlign w:val="center"/>
          </w:tcPr>
          <w:p w14:paraId="7229B0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语文教师</w:t>
            </w:r>
          </w:p>
        </w:tc>
        <w:tc>
          <w:tcPr>
            <w:tcW w:w="2550" w:type="dxa"/>
            <w:tcBorders>
              <w:top w:val="single" w:color="000000" w:sz="4" w:space="0"/>
              <w:left w:val="single" w:color="000000" w:sz="4" w:space="0"/>
              <w:bottom w:val="single" w:color="000000" w:sz="4" w:space="0"/>
              <w:right w:val="single" w:color="000000" w:sz="4" w:space="0"/>
            </w:tcBorders>
            <w:shd w:val="clear"/>
            <w:noWrap/>
            <w:vAlign w:val="center"/>
          </w:tcPr>
          <w:p w14:paraId="09779B2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汉语言文学及相关专业</w:t>
            </w: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008D4F3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1</w:t>
            </w:r>
          </w:p>
        </w:tc>
      </w:tr>
      <w:tr w14:paraId="34F3B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3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5D851E24">
            <w:pPr>
              <w:jc w:val="center"/>
              <w:rPr>
                <w:rFonts w:hint="eastAsia" w:ascii="仿宋" w:hAnsi="仿宋" w:eastAsia="仿宋" w:cs="仿宋"/>
                <w:i w:val="0"/>
                <w:iCs w:val="0"/>
                <w:color w:val="000000"/>
                <w:sz w:val="21"/>
                <w:szCs w:val="21"/>
                <w:u w:val="none"/>
              </w:rPr>
            </w:pPr>
          </w:p>
        </w:tc>
        <w:tc>
          <w:tcPr>
            <w:tcW w:w="1118"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22653B7A">
            <w:pPr>
              <w:jc w:val="center"/>
              <w:rPr>
                <w:rFonts w:hint="eastAsia" w:ascii="仿宋" w:hAnsi="仿宋" w:eastAsia="仿宋" w:cs="仿宋"/>
                <w:i w:val="0"/>
                <w:iCs w:val="0"/>
                <w:color w:val="000000"/>
                <w:sz w:val="21"/>
                <w:szCs w:val="21"/>
                <w:u w:val="none"/>
              </w:rPr>
            </w:pPr>
          </w:p>
        </w:tc>
        <w:tc>
          <w:tcPr>
            <w:tcW w:w="1174"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0D35B2B4">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3C7E9BD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5</w:t>
            </w:r>
          </w:p>
        </w:tc>
        <w:tc>
          <w:tcPr>
            <w:tcW w:w="1545" w:type="dxa"/>
            <w:tcBorders>
              <w:top w:val="single" w:color="000000" w:sz="4" w:space="0"/>
              <w:left w:val="single" w:color="000000" w:sz="4" w:space="0"/>
              <w:bottom w:val="single" w:color="000000" w:sz="4" w:space="0"/>
              <w:right w:val="single" w:color="000000" w:sz="4" w:space="0"/>
            </w:tcBorders>
            <w:shd w:val="clear"/>
            <w:noWrap/>
            <w:vAlign w:val="center"/>
          </w:tcPr>
          <w:p w14:paraId="113E656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英语教师</w:t>
            </w:r>
          </w:p>
        </w:tc>
        <w:tc>
          <w:tcPr>
            <w:tcW w:w="2550" w:type="dxa"/>
            <w:tcBorders>
              <w:top w:val="single" w:color="000000" w:sz="4" w:space="0"/>
              <w:left w:val="single" w:color="000000" w:sz="4" w:space="0"/>
              <w:bottom w:val="single" w:color="000000" w:sz="4" w:space="0"/>
              <w:right w:val="single" w:color="000000" w:sz="4" w:space="0"/>
            </w:tcBorders>
            <w:shd w:val="clear"/>
            <w:noWrap/>
            <w:vAlign w:val="center"/>
          </w:tcPr>
          <w:p w14:paraId="264F85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英语及相关专业</w:t>
            </w: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1868DD3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1</w:t>
            </w:r>
          </w:p>
        </w:tc>
      </w:tr>
      <w:tr w14:paraId="754F2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3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10D1B683">
            <w:pPr>
              <w:jc w:val="center"/>
              <w:rPr>
                <w:rFonts w:hint="eastAsia" w:ascii="仿宋" w:hAnsi="仿宋" w:eastAsia="仿宋" w:cs="仿宋"/>
                <w:i w:val="0"/>
                <w:iCs w:val="0"/>
                <w:color w:val="000000"/>
                <w:sz w:val="21"/>
                <w:szCs w:val="21"/>
                <w:u w:val="none"/>
              </w:rPr>
            </w:pPr>
          </w:p>
        </w:tc>
        <w:tc>
          <w:tcPr>
            <w:tcW w:w="1118"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2374EC0F">
            <w:pPr>
              <w:jc w:val="center"/>
              <w:rPr>
                <w:rFonts w:hint="eastAsia" w:ascii="仿宋" w:hAnsi="仿宋" w:eastAsia="仿宋" w:cs="仿宋"/>
                <w:i w:val="0"/>
                <w:iCs w:val="0"/>
                <w:color w:val="000000"/>
                <w:sz w:val="21"/>
                <w:szCs w:val="21"/>
                <w:u w:val="none"/>
              </w:rPr>
            </w:pPr>
          </w:p>
        </w:tc>
        <w:tc>
          <w:tcPr>
            <w:tcW w:w="1174"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47B35379">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667DD11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6</w:t>
            </w:r>
          </w:p>
        </w:tc>
        <w:tc>
          <w:tcPr>
            <w:tcW w:w="1545" w:type="dxa"/>
            <w:tcBorders>
              <w:top w:val="single" w:color="000000" w:sz="4" w:space="0"/>
              <w:left w:val="single" w:color="000000" w:sz="4" w:space="0"/>
              <w:bottom w:val="single" w:color="000000" w:sz="4" w:space="0"/>
              <w:right w:val="single" w:color="000000" w:sz="4" w:space="0"/>
            </w:tcBorders>
            <w:shd w:val="clear"/>
            <w:noWrap/>
            <w:vAlign w:val="center"/>
          </w:tcPr>
          <w:p w14:paraId="0209C86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数学竞赛教练</w:t>
            </w:r>
          </w:p>
        </w:tc>
        <w:tc>
          <w:tcPr>
            <w:tcW w:w="2550" w:type="dxa"/>
            <w:tcBorders>
              <w:top w:val="single" w:color="000000" w:sz="4" w:space="0"/>
              <w:left w:val="single" w:color="000000" w:sz="4" w:space="0"/>
              <w:bottom w:val="single" w:color="000000" w:sz="4" w:space="0"/>
              <w:right w:val="single" w:color="000000" w:sz="4" w:space="0"/>
            </w:tcBorders>
            <w:shd w:val="clear"/>
            <w:noWrap/>
            <w:vAlign w:val="center"/>
          </w:tcPr>
          <w:p w14:paraId="1FA008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数学及相关专业</w:t>
            </w: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33D084E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2</w:t>
            </w:r>
          </w:p>
        </w:tc>
      </w:tr>
      <w:tr w14:paraId="4EFA1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3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655179D0">
            <w:pPr>
              <w:jc w:val="center"/>
              <w:rPr>
                <w:rFonts w:hint="eastAsia" w:ascii="仿宋" w:hAnsi="仿宋" w:eastAsia="仿宋" w:cs="仿宋"/>
                <w:i w:val="0"/>
                <w:iCs w:val="0"/>
                <w:color w:val="000000"/>
                <w:sz w:val="21"/>
                <w:szCs w:val="21"/>
                <w:u w:val="none"/>
              </w:rPr>
            </w:pPr>
          </w:p>
        </w:tc>
        <w:tc>
          <w:tcPr>
            <w:tcW w:w="1118"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56CF618A">
            <w:pPr>
              <w:jc w:val="center"/>
              <w:rPr>
                <w:rFonts w:hint="eastAsia" w:ascii="仿宋" w:hAnsi="仿宋" w:eastAsia="仿宋" w:cs="仿宋"/>
                <w:i w:val="0"/>
                <w:iCs w:val="0"/>
                <w:color w:val="000000"/>
                <w:sz w:val="21"/>
                <w:szCs w:val="21"/>
                <w:u w:val="none"/>
              </w:rPr>
            </w:pPr>
          </w:p>
        </w:tc>
        <w:tc>
          <w:tcPr>
            <w:tcW w:w="1174"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5EFE8B45">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443EC60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7</w:t>
            </w:r>
          </w:p>
        </w:tc>
        <w:tc>
          <w:tcPr>
            <w:tcW w:w="1545" w:type="dxa"/>
            <w:tcBorders>
              <w:top w:val="single" w:color="000000" w:sz="4" w:space="0"/>
              <w:left w:val="single" w:color="000000" w:sz="4" w:space="0"/>
              <w:bottom w:val="single" w:color="000000" w:sz="4" w:space="0"/>
              <w:right w:val="single" w:color="000000" w:sz="4" w:space="0"/>
            </w:tcBorders>
            <w:shd w:val="clear"/>
            <w:noWrap/>
            <w:vAlign w:val="center"/>
          </w:tcPr>
          <w:p w14:paraId="698868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物理竞赛教练</w:t>
            </w:r>
          </w:p>
        </w:tc>
        <w:tc>
          <w:tcPr>
            <w:tcW w:w="2550" w:type="dxa"/>
            <w:tcBorders>
              <w:top w:val="single" w:color="000000" w:sz="4" w:space="0"/>
              <w:left w:val="single" w:color="000000" w:sz="4" w:space="0"/>
              <w:bottom w:val="single" w:color="000000" w:sz="4" w:space="0"/>
              <w:right w:val="single" w:color="000000" w:sz="4" w:space="0"/>
            </w:tcBorders>
            <w:shd w:val="clear"/>
            <w:noWrap/>
            <w:vAlign w:val="center"/>
          </w:tcPr>
          <w:p w14:paraId="175C02F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物理学及相关专业</w:t>
            </w: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30FFF61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2</w:t>
            </w:r>
          </w:p>
        </w:tc>
      </w:tr>
      <w:tr w14:paraId="57ACD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3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4B2E15F8">
            <w:pPr>
              <w:jc w:val="center"/>
              <w:rPr>
                <w:rFonts w:hint="eastAsia" w:ascii="仿宋" w:hAnsi="仿宋" w:eastAsia="仿宋" w:cs="仿宋"/>
                <w:i w:val="0"/>
                <w:iCs w:val="0"/>
                <w:color w:val="000000"/>
                <w:sz w:val="21"/>
                <w:szCs w:val="21"/>
                <w:u w:val="none"/>
              </w:rPr>
            </w:pPr>
          </w:p>
        </w:tc>
        <w:tc>
          <w:tcPr>
            <w:tcW w:w="1118"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1327B3D1">
            <w:pPr>
              <w:jc w:val="center"/>
              <w:rPr>
                <w:rFonts w:hint="eastAsia" w:ascii="仿宋" w:hAnsi="仿宋" w:eastAsia="仿宋" w:cs="仿宋"/>
                <w:i w:val="0"/>
                <w:iCs w:val="0"/>
                <w:color w:val="000000"/>
                <w:sz w:val="21"/>
                <w:szCs w:val="21"/>
                <w:u w:val="none"/>
              </w:rPr>
            </w:pPr>
          </w:p>
        </w:tc>
        <w:tc>
          <w:tcPr>
            <w:tcW w:w="1174"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477C2053">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02C22AA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8</w:t>
            </w:r>
          </w:p>
        </w:tc>
        <w:tc>
          <w:tcPr>
            <w:tcW w:w="1545" w:type="dxa"/>
            <w:tcBorders>
              <w:top w:val="single" w:color="000000" w:sz="4" w:space="0"/>
              <w:left w:val="single" w:color="000000" w:sz="4" w:space="0"/>
              <w:bottom w:val="single" w:color="000000" w:sz="4" w:space="0"/>
              <w:right w:val="single" w:color="000000" w:sz="4" w:space="0"/>
            </w:tcBorders>
            <w:shd w:val="clear"/>
            <w:noWrap/>
            <w:vAlign w:val="center"/>
          </w:tcPr>
          <w:p w14:paraId="39FAB16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化学竞赛教练</w:t>
            </w:r>
          </w:p>
        </w:tc>
        <w:tc>
          <w:tcPr>
            <w:tcW w:w="2550" w:type="dxa"/>
            <w:tcBorders>
              <w:top w:val="single" w:color="000000" w:sz="4" w:space="0"/>
              <w:left w:val="single" w:color="000000" w:sz="4" w:space="0"/>
              <w:bottom w:val="single" w:color="000000" w:sz="4" w:space="0"/>
              <w:right w:val="single" w:color="000000" w:sz="4" w:space="0"/>
            </w:tcBorders>
            <w:shd w:val="clear"/>
            <w:noWrap/>
            <w:vAlign w:val="center"/>
          </w:tcPr>
          <w:p w14:paraId="335A36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化学及相关专业</w:t>
            </w: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0636E33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2</w:t>
            </w:r>
          </w:p>
        </w:tc>
      </w:tr>
      <w:tr w14:paraId="34463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3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2CB2023D">
            <w:pPr>
              <w:jc w:val="center"/>
              <w:rPr>
                <w:rFonts w:hint="eastAsia" w:ascii="仿宋" w:hAnsi="仿宋" w:eastAsia="仿宋" w:cs="仿宋"/>
                <w:i w:val="0"/>
                <w:iCs w:val="0"/>
                <w:color w:val="000000"/>
                <w:sz w:val="21"/>
                <w:szCs w:val="21"/>
                <w:u w:val="none"/>
              </w:rPr>
            </w:pPr>
          </w:p>
        </w:tc>
        <w:tc>
          <w:tcPr>
            <w:tcW w:w="1118"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04AD9608">
            <w:pPr>
              <w:jc w:val="center"/>
              <w:rPr>
                <w:rFonts w:hint="eastAsia" w:ascii="仿宋" w:hAnsi="仿宋" w:eastAsia="仿宋" w:cs="仿宋"/>
                <w:i w:val="0"/>
                <w:iCs w:val="0"/>
                <w:color w:val="000000"/>
                <w:sz w:val="21"/>
                <w:szCs w:val="21"/>
                <w:u w:val="none"/>
              </w:rPr>
            </w:pPr>
          </w:p>
        </w:tc>
        <w:tc>
          <w:tcPr>
            <w:tcW w:w="1174"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18464069">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05BC48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9</w:t>
            </w:r>
          </w:p>
        </w:tc>
        <w:tc>
          <w:tcPr>
            <w:tcW w:w="1545" w:type="dxa"/>
            <w:tcBorders>
              <w:top w:val="single" w:color="000000" w:sz="4" w:space="0"/>
              <w:left w:val="single" w:color="000000" w:sz="4" w:space="0"/>
              <w:bottom w:val="single" w:color="000000" w:sz="4" w:space="0"/>
              <w:right w:val="single" w:color="000000" w:sz="4" w:space="0"/>
            </w:tcBorders>
            <w:shd w:val="clear"/>
            <w:noWrap/>
            <w:vAlign w:val="center"/>
          </w:tcPr>
          <w:p w14:paraId="01E3BF0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生物竞赛教练</w:t>
            </w:r>
          </w:p>
        </w:tc>
        <w:tc>
          <w:tcPr>
            <w:tcW w:w="2550" w:type="dxa"/>
            <w:tcBorders>
              <w:top w:val="single" w:color="000000" w:sz="4" w:space="0"/>
              <w:left w:val="single" w:color="000000" w:sz="4" w:space="0"/>
              <w:bottom w:val="single" w:color="000000" w:sz="4" w:space="0"/>
              <w:right w:val="single" w:color="000000" w:sz="4" w:space="0"/>
            </w:tcBorders>
            <w:shd w:val="clear"/>
            <w:noWrap/>
            <w:vAlign w:val="center"/>
          </w:tcPr>
          <w:p w14:paraId="587427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生物学及相关专业</w:t>
            </w: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5CFD8A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2</w:t>
            </w:r>
          </w:p>
        </w:tc>
      </w:tr>
      <w:tr w14:paraId="7201D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239" w:type="dxa"/>
            <w:tcBorders>
              <w:top w:val="single" w:color="000000" w:sz="4" w:space="0"/>
              <w:left w:val="single" w:color="000000" w:sz="4" w:space="0"/>
              <w:bottom w:val="single" w:color="000000" w:sz="4" w:space="0"/>
              <w:right w:val="single" w:color="000000" w:sz="4" w:space="0"/>
            </w:tcBorders>
            <w:shd w:val="clear"/>
            <w:noWrap/>
            <w:vAlign w:val="center"/>
          </w:tcPr>
          <w:p w14:paraId="308E6F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合计</w:t>
            </w:r>
          </w:p>
        </w:tc>
        <w:tc>
          <w:tcPr>
            <w:tcW w:w="1118" w:type="dxa"/>
            <w:tcBorders>
              <w:top w:val="single" w:color="000000" w:sz="4" w:space="0"/>
              <w:left w:val="single" w:color="000000" w:sz="4" w:space="0"/>
              <w:bottom w:val="single" w:color="000000" w:sz="4" w:space="0"/>
              <w:right w:val="single" w:color="000000" w:sz="4" w:space="0"/>
            </w:tcBorders>
            <w:shd w:val="clear"/>
            <w:noWrap/>
            <w:vAlign w:val="center"/>
          </w:tcPr>
          <w:p w14:paraId="02657BE0">
            <w:pPr>
              <w:jc w:val="center"/>
              <w:rPr>
                <w:rFonts w:hint="eastAsia" w:ascii="仿宋" w:hAnsi="仿宋" w:eastAsia="仿宋" w:cs="仿宋"/>
                <w:i w:val="0"/>
                <w:iCs w:val="0"/>
                <w:color w:val="000000"/>
                <w:sz w:val="21"/>
                <w:szCs w:val="21"/>
                <w:u w:val="none"/>
              </w:rPr>
            </w:pPr>
          </w:p>
        </w:tc>
        <w:tc>
          <w:tcPr>
            <w:tcW w:w="1174" w:type="dxa"/>
            <w:tcBorders>
              <w:top w:val="single" w:color="000000" w:sz="4" w:space="0"/>
              <w:left w:val="single" w:color="000000" w:sz="4" w:space="0"/>
              <w:bottom w:val="single" w:color="000000" w:sz="4" w:space="0"/>
              <w:right w:val="single" w:color="000000" w:sz="4" w:space="0"/>
            </w:tcBorders>
            <w:shd w:val="clear"/>
            <w:noWrap/>
            <w:vAlign w:val="center"/>
          </w:tcPr>
          <w:p w14:paraId="2317CB88">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07567831">
            <w:pPr>
              <w:jc w:val="center"/>
              <w:rPr>
                <w:rFonts w:hint="eastAsia" w:ascii="仿宋" w:hAnsi="仿宋" w:eastAsia="仿宋" w:cs="仿宋"/>
                <w:i w:val="0"/>
                <w:iCs w:val="0"/>
                <w:color w:val="000000"/>
                <w:sz w:val="21"/>
                <w:szCs w:val="21"/>
                <w:u w:val="none"/>
              </w:rPr>
            </w:pPr>
          </w:p>
        </w:tc>
        <w:tc>
          <w:tcPr>
            <w:tcW w:w="1545" w:type="dxa"/>
            <w:tcBorders>
              <w:top w:val="single" w:color="000000" w:sz="4" w:space="0"/>
              <w:left w:val="single" w:color="000000" w:sz="4" w:space="0"/>
              <w:bottom w:val="single" w:color="000000" w:sz="4" w:space="0"/>
              <w:right w:val="single" w:color="000000" w:sz="4" w:space="0"/>
            </w:tcBorders>
            <w:shd w:val="clear"/>
            <w:noWrap/>
            <w:vAlign w:val="center"/>
          </w:tcPr>
          <w:p w14:paraId="254C4C7E">
            <w:pPr>
              <w:jc w:val="center"/>
              <w:rPr>
                <w:rFonts w:hint="eastAsia" w:ascii="仿宋" w:hAnsi="仿宋" w:eastAsia="仿宋" w:cs="仿宋"/>
                <w:i w:val="0"/>
                <w:iCs w:val="0"/>
                <w:color w:val="000000"/>
                <w:sz w:val="21"/>
                <w:szCs w:val="21"/>
                <w:u w:val="none"/>
              </w:rPr>
            </w:pPr>
          </w:p>
        </w:tc>
        <w:tc>
          <w:tcPr>
            <w:tcW w:w="2550" w:type="dxa"/>
            <w:tcBorders>
              <w:top w:val="single" w:color="000000" w:sz="4" w:space="0"/>
              <w:left w:val="single" w:color="000000" w:sz="4" w:space="0"/>
              <w:bottom w:val="single" w:color="000000" w:sz="4" w:space="0"/>
              <w:right w:val="single" w:color="000000" w:sz="4" w:space="0"/>
            </w:tcBorders>
            <w:shd w:val="clear"/>
            <w:noWrap/>
            <w:vAlign w:val="center"/>
          </w:tcPr>
          <w:p w14:paraId="755644FA">
            <w:pPr>
              <w:jc w:val="center"/>
              <w:rPr>
                <w:rFonts w:hint="eastAsia" w:ascii="仿宋" w:hAnsi="仿宋" w:eastAsia="仿宋" w:cs="仿宋"/>
                <w:i w:val="0"/>
                <w:iCs w:val="0"/>
                <w:color w:val="000000"/>
                <w:sz w:val="21"/>
                <w:szCs w:val="21"/>
                <w:u w:val="none"/>
              </w:rPr>
            </w:pPr>
          </w:p>
        </w:tc>
        <w:tc>
          <w:tcPr>
            <w:tcW w:w="1065" w:type="dxa"/>
            <w:tcBorders>
              <w:top w:val="single" w:color="000000" w:sz="4" w:space="0"/>
              <w:left w:val="single" w:color="000000" w:sz="4" w:space="0"/>
              <w:bottom w:val="single" w:color="000000" w:sz="4" w:space="0"/>
              <w:right w:val="single" w:color="000000" w:sz="4" w:space="0"/>
            </w:tcBorders>
            <w:shd w:val="clear"/>
            <w:noWrap/>
            <w:vAlign w:val="center"/>
          </w:tcPr>
          <w:p w14:paraId="54D6E9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bdr w:val="none" w:color="auto" w:sz="0" w:space="0"/>
                <w:lang w:val="en-US" w:eastAsia="zh-CN" w:bidi="ar"/>
              </w:rPr>
              <w:t>14</w:t>
            </w:r>
          </w:p>
        </w:tc>
      </w:tr>
    </w:tbl>
    <w:p w14:paraId="0701099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left"/>
        <w:textAlignment w:val="auto"/>
        <w:rPr>
          <w:rStyle w:val="6"/>
          <w:rFonts w:hint="eastAsia" w:ascii="黑体" w:hAnsi="黑体" w:eastAsia="黑体" w:cs="黑体"/>
          <w:b w:val="0"/>
          <w:bCs w:val="0"/>
          <w:sz w:val="32"/>
          <w:szCs w:val="32"/>
        </w:rPr>
      </w:pPr>
      <w:r>
        <w:rPr>
          <w:rStyle w:val="6"/>
          <w:rFonts w:hint="eastAsia" w:ascii="黑体" w:hAnsi="黑体" w:eastAsia="黑体" w:cs="黑体"/>
          <w:b w:val="0"/>
          <w:bCs w:val="0"/>
          <w:sz w:val="32"/>
          <w:szCs w:val="32"/>
        </w:rPr>
        <w:t>四、招聘原则</w:t>
      </w:r>
    </w:p>
    <w:p w14:paraId="7E25FEC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1.坚持德才兼备的用人原则。</w:t>
      </w:r>
    </w:p>
    <w:p w14:paraId="204EAB6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2.按照公开、平等、竞争、择优的原则。</w:t>
      </w:r>
    </w:p>
    <w:p w14:paraId="07DA0D2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3.坚持政府宏观管理与落实用人单位自主权相结合的原则。</w:t>
      </w:r>
    </w:p>
    <w:p w14:paraId="0B69C13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4.坚持按需设岗、按岗招聘的原则。</w:t>
      </w:r>
    </w:p>
    <w:p w14:paraId="4720FDC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5.坚持优化结构、保障重点的原则。</w:t>
      </w:r>
    </w:p>
    <w:p w14:paraId="147D711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left"/>
        <w:textAlignment w:val="auto"/>
        <w:rPr>
          <w:rStyle w:val="6"/>
          <w:rFonts w:hint="eastAsia" w:ascii="黑体" w:hAnsi="黑体" w:eastAsia="黑体" w:cs="黑体"/>
          <w:b w:val="0"/>
          <w:bCs w:val="0"/>
          <w:sz w:val="32"/>
          <w:szCs w:val="32"/>
        </w:rPr>
      </w:pPr>
      <w:r>
        <w:rPr>
          <w:rStyle w:val="6"/>
          <w:rFonts w:hint="eastAsia" w:ascii="黑体" w:hAnsi="黑体" w:eastAsia="黑体" w:cs="黑体"/>
          <w:b w:val="0"/>
          <w:bCs w:val="0"/>
          <w:sz w:val="32"/>
          <w:szCs w:val="32"/>
        </w:rPr>
        <w:t>五、招聘条件</w:t>
      </w:r>
    </w:p>
    <w:p w14:paraId="12A316C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3" w:firstLineChars="200"/>
        <w:textAlignment w:val="auto"/>
        <w:rPr>
          <w:rFonts w:hint="eastAsia" w:ascii="仿宋" w:hAnsi="仿宋" w:eastAsia="仿宋" w:cs="仿宋"/>
          <w:b/>
          <w:bCs/>
          <w:sz w:val="32"/>
          <w:szCs w:val="32"/>
        </w:rPr>
      </w:pPr>
      <w:r>
        <w:rPr>
          <w:rFonts w:hint="eastAsia" w:ascii="仿宋" w:hAnsi="仿宋" w:eastAsia="仿宋" w:cs="仿宋"/>
          <w:b/>
          <w:bCs/>
          <w:sz w:val="32"/>
          <w:szCs w:val="32"/>
        </w:rPr>
        <w:t>（一）教师岗位招聘条件</w:t>
      </w:r>
    </w:p>
    <w:p w14:paraId="1B0E2E4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1.政治素质好，热爱教育事业，有志于长期从事教育工作，具有良好的思想道德品质和扎实的教育及专业知识功底。</w:t>
      </w:r>
    </w:p>
    <w:p w14:paraId="3F70342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2.学业合格，能如期毕业。</w:t>
      </w:r>
    </w:p>
    <w:p w14:paraId="1F11A45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3.身体健康，具有适应教师岗位要求的身体条件。</w:t>
      </w:r>
    </w:p>
    <w:p w14:paraId="1750A58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4.专业要求：考生所学专业需与所报名岗位学科方向一致。具有全日制普通高校硕研及以上学历的考生，其研究生所学专业需与本科学段所学专业属同一类别，且与招聘岗位专业方向一致。</w:t>
      </w:r>
    </w:p>
    <w:p w14:paraId="189AFEC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5.资格证要求：具有所报岗位对应学科高中教师资格证，暂未取得教师资格证书者，聘用后在试用期内必须取得，否则取消聘用资格，语文学科普通话要求为二级甲等及以上，其他学科普通话要求为二级乙等及以上。</w:t>
      </w:r>
    </w:p>
    <w:p w14:paraId="59302B2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3" w:firstLineChars="200"/>
        <w:jc w:val="left"/>
        <w:textAlignment w:val="auto"/>
        <w:rPr>
          <w:rFonts w:hint="eastAsia" w:ascii="仿宋" w:hAnsi="仿宋" w:eastAsia="仿宋" w:cs="仿宋"/>
          <w:b/>
          <w:bCs/>
          <w:sz w:val="32"/>
          <w:szCs w:val="32"/>
        </w:rPr>
      </w:pPr>
      <w:r>
        <w:rPr>
          <w:rFonts w:hint="eastAsia" w:ascii="仿宋" w:hAnsi="仿宋" w:eastAsia="仿宋" w:cs="仿宋"/>
          <w:b/>
          <w:bCs/>
          <w:sz w:val="32"/>
          <w:szCs w:val="32"/>
        </w:rPr>
        <w:t>（二）竞赛教练岗位招聘条件</w:t>
      </w:r>
    </w:p>
    <w:p w14:paraId="4D20B71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在满足教师岗位招聘条件的基础上，需同时满足以下条件：</w:t>
      </w:r>
    </w:p>
    <w:p w14:paraId="5776750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1.本科或研究生阶段专业成绩突出，有意愿长期投身于中学竞赛教育，能够适应高强度的竞赛训练指导工作；</w:t>
      </w:r>
    </w:p>
    <w:p w14:paraId="1E889A0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2.具备扎实的竞赛学科相关专业知识，了解强基计划等政策，有志投身于拔尖创新人才和领军人才的早期培养工作；</w:t>
      </w:r>
    </w:p>
    <w:p w14:paraId="26E9CD9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3.能胜任高中教学任务，能完成本学科的竞赛教学工作；</w:t>
      </w:r>
    </w:p>
    <w:p w14:paraId="4A1FEF6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4.高中阶段有参加学科竞赛的经历，在全国中学生奥林匹克竞赛中荣获过省级二等奖及以上奖项者优先。</w:t>
      </w:r>
    </w:p>
    <w:p w14:paraId="35E68E3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3" w:firstLineChars="200"/>
        <w:jc w:val="left"/>
        <w:textAlignment w:val="auto"/>
        <w:rPr>
          <w:rFonts w:hint="eastAsia" w:ascii="仿宋" w:hAnsi="仿宋" w:eastAsia="仿宋" w:cs="仿宋"/>
          <w:b/>
          <w:bCs/>
          <w:sz w:val="32"/>
          <w:szCs w:val="32"/>
        </w:rPr>
      </w:pPr>
      <w:r>
        <w:rPr>
          <w:rFonts w:hint="eastAsia" w:ascii="仿宋" w:hAnsi="仿宋" w:eastAsia="仿宋" w:cs="仿宋"/>
          <w:b/>
          <w:bCs/>
          <w:sz w:val="32"/>
          <w:szCs w:val="32"/>
        </w:rPr>
        <w:t>凡有下列情形之一者不得报考：</w:t>
      </w:r>
    </w:p>
    <w:p w14:paraId="0498716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现役军人和在读的非应届毕业生（其中，非2025年应届毕业的研究生不得以原取得的本科学历、学位证书报考），不能报考；</w:t>
      </w:r>
    </w:p>
    <w:p w14:paraId="3471925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曾因犯罪受过各类刑事处罚人员、曾被开除中国共产党党籍的，在立案审查期间或未解除党纪处分的人员，不能报考；</w:t>
      </w:r>
    </w:p>
    <w:p w14:paraId="40425DC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各级公务员招录和事业单位招聘中被认定有舞弊等严重违反招录、招聘纪律的人员，不能报考；</w:t>
      </w:r>
    </w:p>
    <w:p w14:paraId="51CA5BC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被依法列为失信联合惩戒对象以及法律、法规规定不符合本次招聘要求的人员，不得报考；</w:t>
      </w:r>
    </w:p>
    <w:p w14:paraId="4854FAA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报考人员不得报考聘用后即构成回避关系的岗位。</w:t>
      </w:r>
    </w:p>
    <w:p w14:paraId="0A5767C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报考者在本次招聘报名后至聘用之前，期间已被录用为公务员（参照公务员法管理事业单位工作人员）或已聘用为事业单位工作人员的，不予聘用。</w:t>
      </w:r>
    </w:p>
    <w:p w14:paraId="6745605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以上招聘条件中，除有专门规定外，均以公告发布之日为截止日期。</w:t>
      </w:r>
    </w:p>
    <w:p w14:paraId="0C5ACFC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left"/>
        <w:textAlignment w:val="auto"/>
        <w:rPr>
          <w:rStyle w:val="6"/>
          <w:rFonts w:hint="eastAsia" w:ascii="黑体" w:hAnsi="黑体" w:eastAsia="黑体" w:cs="黑体"/>
          <w:b w:val="0"/>
          <w:bCs w:val="0"/>
          <w:sz w:val="32"/>
          <w:szCs w:val="32"/>
        </w:rPr>
      </w:pPr>
      <w:r>
        <w:rPr>
          <w:rStyle w:val="6"/>
          <w:rFonts w:hint="eastAsia" w:ascii="黑体" w:hAnsi="黑体" w:eastAsia="黑体" w:cs="黑体"/>
          <w:b w:val="0"/>
          <w:bCs w:val="0"/>
          <w:sz w:val="32"/>
          <w:szCs w:val="32"/>
        </w:rPr>
        <w:t>六、招聘程序</w:t>
      </w:r>
    </w:p>
    <w:p w14:paraId="2FEEB72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3" w:firstLineChars="200"/>
        <w:jc w:val="left"/>
        <w:textAlignment w:val="auto"/>
        <w:rPr>
          <w:rFonts w:hint="eastAsia" w:ascii="仿宋" w:hAnsi="仿宋" w:eastAsia="仿宋" w:cs="仿宋"/>
          <w:b/>
          <w:bCs/>
          <w:sz w:val="32"/>
          <w:szCs w:val="32"/>
        </w:rPr>
      </w:pPr>
      <w:r>
        <w:rPr>
          <w:rFonts w:hint="eastAsia" w:ascii="仿宋" w:hAnsi="仿宋" w:eastAsia="仿宋" w:cs="仿宋"/>
          <w:b/>
          <w:bCs/>
          <w:sz w:val="32"/>
          <w:szCs w:val="32"/>
        </w:rPr>
        <w:t>（一）报名</w:t>
      </w:r>
    </w:p>
    <w:p w14:paraId="609B023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1.采取现场报名的方式，同时进行资格审查。报名地点：教育部直属师范大学和全国首批双一流大学中的师范类大学（北京师范大学、华东师范大学、东北师范大学、陕西师范大学、西南大学、华中师范大学、首都师范大学、南京师范大学、湖南师范大学、华南师范大学），以及部分“国优计划”入选高校。各个报名点具体报名时间请关注上述院校就业网或忻州市第一中学校网站（sxxzyz.30edu.com.cn）及微信公众号公告。</w:t>
      </w:r>
    </w:p>
    <w:p w14:paraId="268ABD1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2.报名人员只能选择一个岗位进行报名，所学专业必须符合所报岗位对专业的要求。</w:t>
      </w:r>
    </w:p>
    <w:p w14:paraId="204805D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3.报名所需资料</w:t>
      </w:r>
    </w:p>
    <w:p w14:paraId="3E9FE06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①填写《忻州市第一中学校2025年校园招聘教师报名登记表》一份。报名人员需在忻州市第一中学校网站（sxxzyz.30edu.com.cn）招聘公告下方链接处下载、打印并填写登记表（见附件）。</w:t>
      </w:r>
    </w:p>
    <w:p w14:paraId="548B7FA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②个人简历一份。</w:t>
      </w:r>
    </w:p>
    <w:p w14:paraId="3271B24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③身份证复印件一份。</w:t>
      </w:r>
    </w:p>
    <w:p w14:paraId="4476F88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④学校教务处出具的研究生及以上学历成绩单及专业排名各一份。</w:t>
      </w:r>
    </w:p>
    <w:p w14:paraId="2F0C258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4.报名人员提交的所有信息和材料应当真实、准确。凡提供虚假信息和材料获取公开招聘资格的，或故意隐瞒本人真实情况影响聘用的，一经查实，取消聘用资格。</w:t>
      </w:r>
    </w:p>
    <w:p w14:paraId="4754FFB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3" w:firstLineChars="200"/>
        <w:jc w:val="left"/>
        <w:textAlignment w:val="auto"/>
        <w:rPr>
          <w:rFonts w:hint="eastAsia" w:ascii="仿宋" w:hAnsi="仿宋" w:eastAsia="仿宋" w:cs="仿宋"/>
          <w:b/>
          <w:bCs/>
          <w:sz w:val="32"/>
          <w:szCs w:val="32"/>
        </w:rPr>
      </w:pPr>
      <w:r>
        <w:rPr>
          <w:rFonts w:hint="eastAsia" w:ascii="仿宋" w:hAnsi="仿宋" w:eastAsia="仿宋" w:cs="仿宋"/>
          <w:b/>
          <w:bCs/>
          <w:sz w:val="32"/>
          <w:szCs w:val="32"/>
        </w:rPr>
        <w:t>（二）资格审查</w:t>
      </w:r>
    </w:p>
    <w:p w14:paraId="56952C1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招聘单位负责解释报考岗位要求的资格条件和专业需求等方面的问题。招聘单位要组织相关人员及时认真审查报名者的资格条件，现场提出审查意见。对不符合报名条件未通过审查的报考者，应准确说明理由；对填报材料不全的，应注明缺失内容，退回报考人员补充。资格审查合格的考生进入面试环节。</w:t>
      </w:r>
    </w:p>
    <w:p w14:paraId="6C520B0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3" w:firstLineChars="200"/>
        <w:jc w:val="left"/>
        <w:textAlignment w:val="auto"/>
        <w:rPr>
          <w:rFonts w:hint="eastAsia" w:ascii="仿宋" w:hAnsi="仿宋" w:eastAsia="仿宋" w:cs="仿宋"/>
          <w:b/>
          <w:bCs/>
          <w:sz w:val="32"/>
          <w:szCs w:val="32"/>
        </w:rPr>
      </w:pPr>
      <w:r>
        <w:rPr>
          <w:rFonts w:hint="eastAsia" w:ascii="仿宋" w:hAnsi="仿宋" w:eastAsia="仿宋" w:cs="仿宋"/>
          <w:b/>
          <w:bCs/>
          <w:sz w:val="32"/>
          <w:szCs w:val="32"/>
        </w:rPr>
        <w:t>（三）考试</w:t>
      </w:r>
    </w:p>
    <w:p w14:paraId="007876D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考试分面试和笔试。当同一报名点、同一岗位面试成绩在合格线以上的考生人数达到招聘名额的5倍及以上时，增加笔试环节；未达上述比例的，只面试不笔试。</w:t>
      </w:r>
    </w:p>
    <w:p w14:paraId="1FB1E13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1.面试</w:t>
      </w:r>
    </w:p>
    <w:p w14:paraId="2C5820B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面试满分100分，面试成绩90分以上，按招聘名额，确定为拟聘用人员。面试合格线为80分，如果出现空缺名额，对达到合格线及以上的考生，由高分到低分顺序依次递补进入下一招聘环节。</w:t>
      </w:r>
    </w:p>
    <w:p w14:paraId="0CB8155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面试形式：考生自拟课题，面对评委讲课10分钟。</w:t>
      </w:r>
    </w:p>
    <w:p w14:paraId="637BB31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计分方式：5名评委同时评分，去掉一个最高分，一个最低分，其余3名评委的平均分为考生的最终面试得分。每个岗位面试结束，经主考签字后，在考点公布面试成绩。</w:t>
      </w:r>
    </w:p>
    <w:p w14:paraId="1432ECE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2.笔试</w:t>
      </w:r>
    </w:p>
    <w:p w14:paraId="18B19FC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若需进行笔试，笔试人选按空余招聘名额1:5的比例，依据面试成绩从高分到低分的顺序依次确定。</w:t>
      </w:r>
    </w:p>
    <w:p w14:paraId="4E0FA40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笔试内容为所报岗位对应学科专业知识，笔试采取闭卷方式进行，笔试满分均为100分，用时100分钟。</w:t>
      </w:r>
    </w:p>
    <w:p w14:paraId="4EC161C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面试成绩占总成绩40%，笔试成绩占总成绩60％。</w:t>
      </w:r>
    </w:p>
    <w:p w14:paraId="3705E88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考试总成绩=面试成绩×40%+笔试成绩×60%。不参加笔试的考生，面试成绩为本人考试总成绩。考试总成绩保留两位小数。</w:t>
      </w:r>
    </w:p>
    <w:p w14:paraId="11543AC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考生笔试最低合格分为70分，不达70分者不得进入下一个招聘环节。</w:t>
      </w:r>
    </w:p>
    <w:p w14:paraId="3823C58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不需要参加笔试的考生，根据空余招聘名额，坚持宁缺毋滥的原则，择优确定拟聘用人员；参加笔试的考生，根据空余招聘名额1:1的比例，按总成绩由高分到低分的顺序确定拟聘用人员。</w:t>
      </w:r>
    </w:p>
    <w:p w14:paraId="5EB71B0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本方案招聘范围内的公费师范生按有关政策择优选聘（招聘数包含在总招聘名额中）。</w:t>
      </w:r>
    </w:p>
    <w:p w14:paraId="7DEDEAF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考试时间、地点见忻州市第一中学校网站及微信公众平台通知。</w:t>
      </w:r>
    </w:p>
    <w:p w14:paraId="157EA53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left"/>
        <w:textAlignment w:val="auto"/>
        <w:rPr>
          <w:rStyle w:val="6"/>
          <w:rFonts w:hint="eastAsia" w:ascii="黑体" w:hAnsi="黑体" w:eastAsia="黑体" w:cs="黑体"/>
          <w:b w:val="0"/>
          <w:bCs w:val="0"/>
          <w:sz w:val="32"/>
          <w:szCs w:val="32"/>
        </w:rPr>
      </w:pPr>
      <w:r>
        <w:rPr>
          <w:rStyle w:val="6"/>
          <w:rFonts w:hint="eastAsia" w:ascii="黑体" w:hAnsi="黑体" w:eastAsia="黑体" w:cs="黑体"/>
          <w:b w:val="0"/>
          <w:bCs w:val="0"/>
          <w:sz w:val="32"/>
          <w:szCs w:val="32"/>
        </w:rPr>
        <w:t>七、体检与考察</w:t>
      </w:r>
    </w:p>
    <w:p w14:paraId="4E85B3E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体检、考察由招聘单位组织实施。</w:t>
      </w:r>
    </w:p>
    <w:p w14:paraId="048667B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根据考试总成绩按岗位招聘名额1︰1比例从高分到低分依次确定体检人选。入围体检人选到指定综合医院进行体检，体检项目和标准参照《山西省申请教师资格人员体检标准及办法（修订）》（晋教人字〔2005〕19号）标准执行，体检费用考生自理，体检结论不合格需要复检的，考生应于收到体检结论之日起3个工作日内提出申请，应安排在具有体检资质的同一级别或上一级别的另一家医院复检，复检费用考生自理。招聘单位、参加体检的应聘人员及家属对复检结果仍有疑义的，承担复检的医院应组织相关专家进行会诊，做出最终结论。对因怀孕不能全部完成体检项目的，按国家相关政策执行。不按时参加体检者，视同放弃资格。体检不合格者取消资格，合格者方可进入考察环节。</w:t>
      </w:r>
    </w:p>
    <w:p w14:paraId="199B073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考察按照德才兼备的标准，根据拟聘用岗位的要求，采取多种形式，全面了解被考察对象的政治思想、道德品质、遵纪守法、自律意识、能力素质、工作态度、学习及工作表现以及需要回避的情况等。主要考察应聘者在校期间的学习情况、平时思想政治表现等，原则上以学校毕业鉴定等证明材料为准。未按规定时间、地点参加体检及考察的，视为自动放弃。</w:t>
      </w:r>
    </w:p>
    <w:p w14:paraId="0FBD642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体检、考察不合格不得进入下一招聘环节，因此出现的空缺名额按照相应岗位招聘名额由高分到低分依次递补。</w:t>
      </w:r>
    </w:p>
    <w:p w14:paraId="411C3DC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left"/>
        <w:textAlignment w:val="auto"/>
        <w:rPr>
          <w:rStyle w:val="6"/>
          <w:rFonts w:hint="eastAsia" w:ascii="黑体" w:hAnsi="黑体" w:eastAsia="黑体" w:cs="黑体"/>
          <w:b w:val="0"/>
          <w:bCs w:val="0"/>
          <w:sz w:val="32"/>
          <w:szCs w:val="32"/>
        </w:rPr>
      </w:pPr>
      <w:r>
        <w:rPr>
          <w:rStyle w:val="6"/>
          <w:rFonts w:hint="eastAsia" w:ascii="黑体" w:hAnsi="黑体" w:eastAsia="黑体" w:cs="黑体"/>
          <w:b w:val="0"/>
          <w:bCs w:val="0"/>
          <w:sz w:val="32"/>
          <w:szCs w:val="32"/>
        </w:rPr>
        <w:t>八、公示和聘用</w:t>
      </w:r>
    </w:p>
    <w:p w14:paraId="5852686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根据考试、体检、考察情况，对拟聘用人员在忻州市第一中学校网站和微信公众平台进行公示，公示期为7个工作日，公示内容包括拟聘用人员招聘岗位、招聘数量、专业要求、姓名、性别、毕业院校、学历（学位）、综合成绩、岗位排名等信息。</w:t>
      </w:r>
    </w:p>
    <w:p w14:paraId="781CF62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公示期满后，没有问题或反映的问题不影响聘用的，办理聘用手续；对反映有影响聘用的问题并查实的，不予聘用；对反映的问题一时难以查实的，可暂缓聘用，待查清后再决定是否聘用。</w:t>
      </w:r>
    </w:p>
    <w:p w14:paraId="6F4BECF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所聘人员实行聘用制，试用期一年，试用期满考核合格者办理正式聘用手续。试用期包括在聘用合同期限内，考核不合格者取消聘用资格。对签订合同后提出放弃的应聘人员，无正当理由，未在规定时间内报到的情况，取消其相应资格，并记入诚信档案，按合同双方约定事项承担相应法律责任。</w:t>
      </w:r>
    </w:p>
    <w:p w14:paraId="76C91DD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left"/>
        <w:textAlignment w:val="auto"/>
        <w:rPr>
          <w:rStyle w:val="6"/>
          <w:rFonts w:hint="eastAsia" w:ascii="黑体" w:hAnsi="黑体" w:eastAsia="黑体" w:cs="黑体"/>
          <w:b w:val="0"/>
          <w:bCs w:val="0"/>
          <w:sz w:val="32"/>
          <w:szCs w:val="32"/>
        </w:rPr>
      </w:pPr>
      <w:r>
        <w:rPr>
          <w:rStyle w:val="6"/>
          <w:rFonts w:hint="eastAsia" w:ascii="黑体" w:hAnsi="黑体" w:eastAsia="黑体" w:cs="黑体"/>
          <w:b w:val="0"/>
          <w:bCs w:val="0"/>
          <w:sz w:val="32"/>
          <w:szCs w:val="32"/>
        </w:rPr>
        <w:t>九、工资待遇</w:t>
      </w:r>
    </w:p>
    <w:p w14:paraId="42D5807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本次校园招聘的教师均为全额事业编制，工资待遇及晋级晋岗按照事业单位人事管理相应规定执行，并享受年度绩效考核奖励。</w:t>
      </w:r>
    </w:p>
    <w:p w14:paraId="4455106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left"/>
        <w:textAlignment w:val="auto"/>
        <w:rPr>
          <w:rStyle w:val="6"/>
          <w:rFonts w:hint="eastAsia" w:ascii="黑体" w:hAnsi="黑体" w:eastAsia="黑体" w:cs="黑体"/>
          <w:b w:val="0"/>
          <w:bCs w:val="0"/>
          <w:sz w:val="32"/>
          <w:szCs w:val="32"/>
        </w:rPr>
      </w:pPr>
      <w:r>
        <w:rPr>
          <w:rStyle w:val="6"/>
          <w:rFonts w:hint="eastAsia" w:ascii="黑体" w:hAnsi="黑体" w:eastAsia="黑体" w:cs="黑体"/>
          <w:b w:val="0"/>
          <w:bCs w:val="0"/>
          <w:sz w:val="32"/>
          <w:szCs w:val="32"/>
        </w:rPr>
        <w:t>十、监督检查</w:t>
      </w:r>
    </w:p>
    <w:p w14:paraId="6DF52DF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本次招聘由忻州市人社局指导监督，并设立举报电话，对群众的检举、申诉和控告，认真核查，对弄虚作假、徇私舞弊等违反招聘纪律的行为严肃查处。</w:t>
      </w:r>
    </w:p>
    <w:p w14:paraId="4D43415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咨询电话：忻州市第一中学校办公室</w:t>
      </w:r>
    </w:p>
    <w:p w14:paraId="05424E0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0350—8672757</w:t>
      </w:r>
    </w:p>
    <w:p w14:paraId="56FBCD4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监督电话：忻州市教育局人事科</w:t>
      </w:r>
    </w:p>
    <w:p w14:paraId="1382DA2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0350—2028825</w:t>
      </w:r>
    </w:p>
    <w:p w14:paraId="034E190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忻州市人社局事业单位管理科</w:t>
      </w:r>
    </w:p>
    <w:p w14:paraId="14DFD35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0350—3333625</w:t>
      </w:r>
    </w:p>
    <w:p w14:paraId="4182A71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注：报名成功后，应聘人员要确保联系电话畅通。</w:t>
      </w:r>
    </w:p>
    <w:p w14:paraId="1D94D0D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right="0"/>
        <w:textAlignment w:val="auto"/>
        <w:rPr>
          <w:rFonts w:hint="eastAsia" w:ascii="仿宋" w:hAnsi="仿宋" w:eastAsia="仿宋" w:cs="仿宋"/>
          <w:b w:val="0"/>
          <w:bCs w:val="0"/>
          <w:sz w:val="32"/>
          <w:szCs w:val="32"/>
        </w:rPr>
      </w:pPr>
    </w:p>
    <w:p w14:paraId="3CD6511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right="0"/>
        <w:textAlignment w:val="auto"/>
        <w:rPr>
          <w:rFonts w:hint="eastAsia" w:ascii="仿宋" w:hAnsi="仿宋" w:eastAsia="仿宋" w:cs="仿宋"/>
          <w:b w:val="0"/>
          <w:bCs w:val="0"/>
          <w:sz w:val="32"/>
          <w:szCs w:val="32"/>
        </w:rPr>
      </w:pPr>
    </w:p>
    <w:p w14:paraId="3B3077D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righ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忻州市第一中学校校园招聘</w:t>
      </w:r>
    </w:p>
    <w:p w14:paraId="6D93D40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righ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教师领导组（代章）</w:t>
      </w:r>
    </w:p>
    <w:p w14:paraId="176F79E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righ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2024年11月9日</w:t>
      </w:r>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C28435"/>
    <w:multiLevelType w:val="singleLevel"/>
    <w:tmpl w:val="B6C2843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3NTQyYjE3Y2ZmMzM2ZjhiYzNiZjJiM2VmZDkwM2YifQ=="/>
  </w:docVars>
  <w:rsids>
    <w:rsidRoot w:val="00000000"/>
    <w:rsid w:val="03545723"/>
    <w:rsid w:val="1645528E"/>
    <w:rsid w:val="4DC24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 w:type="character" w:styleId="7">
    <w:name w:val="FollowedHyperlink"/>
    <w:basedOn w:val="5"/>
    <w:uiPriority w:val="0"/>
    <w:rPr>
      <w:color w:val="576B95"/>
      <w:u w:val="none"/>
    </w:rPr>
  </w:style>
  <w:style w:type="character" w:styleId="8">
    <w:name w:val="Hyperlink"/>
    <w:basedOn w:val="5"/>
    <w:uiPriority w:val="0"/>
    <w:rPr>
      <w:color w:val="576B95"/>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22</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2024-09-03T11:48:00Z</dcterms:created>
  <dc:creator>zjc</dc:creator>
  <cp:lastModifiedBy>徐静</cp:lastModifiedBy>
  <dcterms:modified xsi:type="dcterms:W3CDTF">2024-11-11T01:52:37Z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2B5844D268F046AF88F6F97CEA2D899C_12</vt:lpwstr>
  </property>
</Properties>
</file>