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87CAC">
      <w:pPr>
        <w:pStyle w:val="5"/>
        <w:overflowPunct w:val="0"/>
        <w:snapToGrid w:val="0"/>
        <w:spacing w:line="276" w:lineRule="auto"/>
        <w:ind w:left="0" w:right="442"/>
        <w:jc w:val="center"/>
        <w:rPr>
          <w:rFonts w:ascii="黑体" w:hAnsi="黑体" w:eastAsia="黑体"/>
          <w:sz w:val="36"/>
          <w:szCs w:val="36"/>
        </w:rPr>
      </w:pPr>
      <w:r>
        <w:rPr>
          <w:rFonts w:hint="eastAsia" w:ascii="黑体" w:hAnsi="黑体" w:eastAsia="黑体"/>
          <w:sz w:val="36"/>
          <w:szCs w:val="36"/>
        </w:rPr>
        <w:t>衢州学院2024年高层次人才招聘公告</w:t>
      </w:r>
    </w:p>
    <w:p w14:paraId="5858FAAD">
      <w:pPr>
        <w:pStyle w:val="5"/>
        <w:overflowPunct w:val="0"/>
        <w:spacing w:before="9"/>
        <w:ind w:left="0"/>
        <w:rPr>
          <w:b/>
          <w:bCs/>
          <w:sz w:val="30"/>
          <w:szCs w:val="30"/>
        </w:rPr>
      </w:pPr>
    </w:p>
    <w:p w14:paraId="6BC007BF">
      <w:pPr>
        <w:pStyle w:val="5"/>
        <w:overflowPunct w:val="0"/>
        <w:snapToGrid w:val="0"/>
        <w:spacing w:line="276" w:lineRule="auto"/>
        <w:ind w:left="126" w:leftChars="60" w:right="442" w:firstLine="480" w:firstLineChars="200"/>
        <w:jc w:val="both"/>
        <w:rPr>
          <w:rFonts w:ascii="仿宋_GB2312" w:eastAsia="仿宋_GB2312"/>
        </w:rPr>
      </w:pPr>
      <w:r>
        <w:rPr>
          <w:rFonts w:hint="eastAsia" w:ascii="仿宋_GB2312" w:eastAsia="仿宋_GB2312"/>
        </w:rPr>
        <w:t>根据《浙江省事业单位公开招聘人员暂行办法》、衢州市《关于打造事业单位人才高地大力提升人才竞争力和服务绩效的实施意见》《衢州学院“十四五”事业发展规划》等文件精神</w:t>
      </w:r>
      <w:r>
        <w:rPr>
          <w:rFonts w:ascii="仿宋_GB2312" w:eastAsia="仿宋_GB2312"/>
        </w:rPr>
        <w:t>，结合学校中长期发展需要，经研究，</w:t>
      </w:r>
      <w:r>
        <w:rPr>
          <w:rFonts w:hint="eastAsia" w:ascii="仿宋_GB2312" w:eastAsia="仿宋_GB2312"/>
        </w:rPr>
        <w:t>衢州学院决定引进事业单位高层次急需人才。现将有关事项公告如下：</w:t>
      </w:r>
    </w:p>
    <w:p w14:paraId="0780F81B">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一、单位简介</w:t>
      </w:r>
    </w:p>
    <w:p w14:paraId="5A97AA13">
      <w:pPr>
        <w:pStyle w:val="5"/>
        <w:overflowPunct w:val="0"/>
        <w:snapToGrid w:val="0"/>
        <w:spacing w:line="276" w:lineRule="auto"/>
        <w:ind w:left="126" w:leftChars="60" w:right="442" w:firstLine="480" w:firstLineChars="200"/>
        <w:jc w:val="both"/>
        <w:rPr>
          <w:rFonts w:ascii="Times New Roman" w:eastAsia="仿宋_GB2312" w:cs="Times New Roman"/>
        </w:rPr>
      </w:pPr>
      <w:r>
        <w:rPr>
          <w:rFonts w:ascii="Times New Roman" w:eastAsia="仿宋_GB2312" w:cs="Times New Roman"/>
        </w:rPr>
        <w:t>衢州学院是一所以工为主，多科协调发展的全日制应用型普通本科院校，浙江省首批应用型大学建设试点示范院校，坐落于素有“四省通衢”之称的国家历史文化名城浙江省衢州市。学校现有</w:t>
      </w:r>
      <w:r>
        <w:rPr>
          <w:rFonts w:hint="eastAsia" w:ascii="Times New Roman" w:eastAsia="仿宋_GB2312" w:cs="Times New Roman"/>
        </w:rPr>
        <w:t>化学与材料工程学院、机械工程学院、建筑工程学院、电气与信息工程学院、商学院、教师教育学院、外国语学院/国际教育学院、马克思主义学院、创业学院、体育工作部等10个学院（部），开设涉及工学、教育学、管理学、经济学、文学、理学、艺术学等7大学科门类的本科专业31个，现有全日制普通本专科学生10000余人；</w:t>
      </w:r>
      <w:r>
        <w:rPr>
          <w:rFonts w:ascii="Times New Roman" w:eastAsia="仿宋_GB2312" w:cs="Times New Roman"/>
        </w:rPr>
        <w:t>专任教师</w:t>
      </w:r>
      <w:r>
        <w:rPr>
          <w:rFonts w:hint="eastAsia" w:ascii="Times New Roman" w:eastAsia="仿宋_GB2312" w:cs="Times New Roman"/>
        </w:rPr>
        <w:t>660余人</w:t>
      </w:r>
      <w:r>
        <w:rPr>
          <w:rFonts w:ascii="Times New Roman" w:eastAsia="仿宋_GB2312" w:cs="Times New Roman"/>
        </w:rPr>
        <w:t>，其中具有博士学位教师</w:t>
      </w:r>
      <w:r>
        <w:rPr>
          <w:rFonts w:hint="eastAsia" w:ascii="Times New Roman" w:eastAsia="仿宋_GB2312" w:cs="Times New Roman"/>
        </w:rPr>
        <w:t>300余</w:t>
      </w:r>
      <w:r>
        <w:rPr>
          <w:rFonts w:ascii="Times New Roman" w:eastAsia="仿宋_GB2312" w:cs="Times New Roman"/>
        </w:rPr>
        <w:t>人。现诚邀海内外</w:t>
      </w:r>
      <w:r>
        <w:rPr>
          <w:rFonts w:hint="eastAsia" w:ascii="Times New Roman" w:eastAsia="仿宋_GB2312" w:cs="Times New Roman"/>
        </w:rPr>
        <w:t>优秀人才</w:t>
      </w:r>
      <w:r>
        <w:rPr>
          <w:rFonts w:ascii="Times New Roman" w:eastAsia="仿宋_GB2312" w:cs="Times New Roman"/>
        </w:rPr>
        <w:t>加盟我校。</w:t>
      </w:r>
    </w:p>
    <w:p w14:paraId="69D6E770">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二、招聘岗位及人数</w:t>
      </w:r>
    </w:p>
    <w:p w14:paraId="2E0FC0C5">
      <w:pPr>
        <w:pStyle w:val="5"/>
        <w:overflowPunct w:val="0"/>
        <w:snapToGrid w:val="0"/>
        <w:spacing w:line="276" w:lineRule="auto"/>
        <w:ind w:left="126" w:leftChars="60" w:right="442" w:firstLine="464" w:firstLineChars="200"/>
        <w:jc w:val="both"/>
        <w:rPr>
          <w:rFonts w:ascii="Times New Roman" w:eastAsia="仿宋_GB2312" w:cs="Times New Roman"/>
          <w:spacing w:val="-4"/>
        </w:rPr>
      </w:pPr>
      <w:r>
        <w:rPr>
          <w:rFonts w:hint="eastAsia" w:ascii="Times New Roman" w:eastAsia="仿宋_GB2312" w:cs="Times New Roman"/>
          <w:spacing w:val="-4"/>
        </w:rPr>
        <w:t>A、B、C、D、E类共设8个岗位，计划引进20人；F类（博士研究生）共设9个岗位，计划引进85人；人才团队计划引进7个；</w:t>
      </w:r>
      <w:r>
        <w:rPr>
          <w:rFonts w:ascii="Times New Roman" w:eastAsia="仿宋_GB2312" w:cs="Times New Roman"/>
          <w:color w:val="000000" w:themeColor="text1"/>
          <w:spacing w:val="-4"/>
          <w14:textFill>
            <w14:solidFill>
              <w14:schemeClr w14:val="tx1"/>
            </w14:solidFill>
          </w14:textFill>
        </w:rPr>
        <w:t>硕士研究生共设</w:t>
      </w:r>
      <w:r>
        <w:rPr>
          <w:rFonts w:hint="eastAsia" w:ascii="Times New Roman" w:eastAsia="仿宋_GB2312" w:cs="Times New Roman"/>
          <w:color w:val="000000" w:themeColor="text1"/>
          <w:spacing w:val="-4"/>
          <w14:textFill>
            <w14:solidFill>
              <w14:schemeClr w14:val="tx1"/>
            </w14:solidFill>
          </w14:textFill>
        </w:rPr>
        <w:t>3</w:t>
      </w:r>
      <w:r>
        <w:rPr>
          <w:rFonts w:ascii="Times New Roman" w:eastAsia="仿宋_GB2312" w:cs="Times New Roman"/>
          <w:color w:val="000000" w:themeColor="text1"/>
          <w:spacing w:val="-4"/>
          <w14:textFill>
            <w14:solidFill>
              <w14:schemeClr w14:val="tx1"/>
            </w14:solidFill>
          </w14:textFill>
        </w:rPr>
        <w:t>个岗位，计划引进4人</w:t>
      </w:r>
      <w:r>
        <w:rPr>
          <w:rFonts w:ascii="Times New Roman" w:eastAsia="仿宋_GB2312" w:cs="Times New Roman"/>
          <w:bCs/>
          <w:color w:val="000000" w:themeColor="text1"/>
          <w14:textFill>
            <w14:solidFill>
              <w14:schemeClr w14:val="tx1"/>
            </w14:solidFill>
          </w14:textFill>
        </w:rPr>
        <w:t>；优秀运动员共设2个岗位，计划引进2人。</w:t>
      </w:r>
      <w:r>
        <w:rPr>
          <w:rFonts w:hint="eastAsia" w:ascii="Times New Roman" w:eastAsia="仿宋_GB2312" w:cs="Times New Roman"/>
          <w:spacing w:val="-4"/>
        </w:rPr>
        <w:t>具体岗位需求如下：</w:t>
      </w:r>
    </w:p>
    <w:p w14:paraId="5B0AFB98">
      <w:pPr>
        <w:pStyle w:val="5"/>
        <w:overflowPunct w:val="0"/>
        <w:snapToGrid w:val="0"/>
        <w:spacing w:line="360" w:lineRule="auto"/>
        <w:ind w:left="0" w:right="111" w:firstLine="354" w:firstLineChars="147"/>
        <w:rPr>
          <w:rFonts w:ascii="仿宋_GB2312" w:eastAsia="仿宋_GB2312"/>
          <w:b/>
          <w:bCs/>
        </w:rPr>
      </w:pPr>
      <w:r>
        <w:rPr>
          <w:rFonts w:hint="eastAsia" w:ascii="仿宋_GB2312" w:eastAsia="仿宋_GB2312"/>
          <w:b/>
          <w:bCs/>
        </w:rPr>
        <w:t>（一）</w:t>
      </w:r>
      <w:r>
        <w:rPr>
          <w:rFonts w:hint="eastAsia" w:ascii="仿宋_GB2312" w:eastAsia="仿宋_GB2312"/>
          <w:b/>
        </w:rPr>
        <w:t>A、B、C、D、E</w:t>
      </w:r>
      <w:r>
        <w:rPr>
          <w:rFonts w:hint="eastAsia" w:ascii="仿宋_GB2312" w:eastAsia="仿宋_GB2312"/>
          <w:b/>
          <w:bCs/>
        </w:rPr>
        <w:t>类高层次人才</w:t>
      </w:r>
    </w:p>
    <w:tbl>
      <w:tblPr>
        <w:tblStyle w:val="10"/>
        <w:tblW w:w="9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215"/>
        <w:gridCol w:w="5280"/>
        <w:gridCol w:w="993"/>
        <w:gridCol w:w="782"/>
      </w:tblGrid>
      <w:tr w14:paraId="26CE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0" w:type="dxa"/>
            <w:shd w:val="clear" w:color="auto" w:fill="auto"/>
            <w:vAlign w:val="center"/>
          </w:tcPr>
          <w:p w14:paraId="2F64944E">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序号</w:t>
            </w:r>
          </w:p>
        </w:tc>
        <w:tc>
          <w:tcPr>
            <w:tcW w:w="2215" w:type="dxa"/>
            <w:shd w:val="clear" w:color="auto" w:fill="auto"/>
            <w:vAlign w:val="center"/>
          </w:tcPr>
          <w:p w14:paraId="09CDFCA5">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岗位名称</w:t>
            </w:r>
          </w:p>
        </w:tc>
        <w:tc>
          <w:tcPr>
            <w:tcW w:w="5280" w:type="dxa"/>
            <w:shd w:val="clear" w:color="auto" w:fill="auto"/>
            <w:vAlign w:val="center"/>
          </w:tcPr>
          <w:p w14:paraId="17C13DB3">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专业要求</w:t>
            </w:r>
          </w:p>
        </w:tc>
        <w:tc>
          <w:tcPr>
            <w:tcW w:w="993" w:type="dxa"/>
            <w:shd w:val="clear" w:color="auto" w:fill="auto"/>
            <w:vAlign w:val="center"/>
          </w:tcPr>
          <w:p w14:paraId="7F6EDDCA">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学历、学位要求</w:t>
            </w:r>
          </w:p>
        </w:tc>
        <w:tc>
          <w:tcPr>
            <w:tcW w:w="782" w:type="dxa"/>
            <w:shd w:val="clear" w:color="auto" w:fill="auto"/>
            <w:vAlign w:val="center"/>
          </w:tcPr>
          <w:p w14:paraId="62EFBF5E">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需求人数</w:t>
            </w:r>
          </w:p>
        </w:tc>
      </w:tr>
      <w:tr w14:paraId="1E9F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0" w:type="dxa"/>
            <w:shd w:val="clear" w:color="auto" w:fill="auto"/>
            <w:vAlign w:val="center"/>
          </w:tcPr>
          <w:p w14:paraId="3D5CCFE0">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1</w:t>
            </w:r>
          </w:p>
        </w:tc>
        <w:tc>
          <w:tcPr>
            <w:tcW w:w="2215" w:type="dxa"/>
            <w:shd w:val="clear" w:color="auto" w:fill="auto"/>
            <w:vAlign w:val="center"/>
          </w:tcPr>
          <w:p w14:paraId="6F8091B3">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化学与材料工程学院专任教师</w:t>
            </w:r>
          </w:p>
        </w:tc>
        <w:tc>
          <w:tcPr>
            <w:tcW w:w="5280" w:type="dxa"/>
            <w:shd w:val="clear" w:color="auto" w:fill="auto"/>
            <w:vAlign w:val="center"/>
          </w:tcPr>
          <w:p w14:paraId="0DCBD9A6">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化学类、材料科学与工程类、化学工程与技术类、环境科学与工程类、轻工技术与工程类、农业资源与环境类、安全科学与工程类、物理学类、动力工程及工程热物理类、林业工程类、生物学类（微生物学）</w:t>
            </w:r>
          </w:p>
        </w:tc>
        <w:tc>
          <w:tcPr>
            <w:tcW w:w="993" w:type="dxa"/>
            <w:shd w:val="clear" w:color="auto" w:fill="auto"/>
            <w:vAlign w:val="center"/>
          </w:tcPr>
          <w:p w14:paraId="2922DC40">
            <w:pPr>
              <w:widowControl/>
              <w:adjustRightInd w:val="0"/>
              <w:snapToGrid w:val="0"/>
              <w:jc w:val="center"/>
              <w:textAlignment w:val="center"/>
              <w:rPr>
                <w:rFonts w:ascii="仿宋_GB2312" w:hAnsi="仿宋" w:eastAsia="仿宋_GB2312" w:cs="仿宋"/>
                <w:sz w:val="22"/>
                <w:szCs w:val="20"/>
              </w:rPr>
            </w:pPr>
            <w:r>
              <w:rPr>
                <w:rFonts w:ascii="仿宋_GB2312" w:hAnsi="仿宋" w:eastAsia="仿宋_GB2312" w:cs="仿宋"/>
                <w:sz w:val="22"/>
              </w:rPr>
              <w:t>研究生/博士</w:t>
            </w:r>
          </w:p>
        </w:tc>
        <w:tc>
          <w:tcPr>
            <w:tcW w:w="782" w:type="dxa"/>
            <w:vMerge w:val="restart"/>
            <w:shd w:val="clear" w:color="auto" w:fill="auto"/>
            <w:vAlign w:val="center"/>
          </w:tcPr>
          <w:p w14:paraId="4978658D">
            <w:pPr>
              <w:jc w:val="center"/>
              <w:rPr>
                <w:rFonts w:ascii="仿宋_GB2312" w:hAnsi="仿宋" w:eastAsia="仿宋_GB2312" w:cs="仿宋"/>
                <w:sz w:val="22"/>
                <w:szCs w:val="20"/>
              </w:rPr>
            </w:pPr>
            <w:r>
              <w:rPr>
                <w:rFonts w:hint="eastAsia" w:ascii="仿宋_GB2312" w:hAnsi="仿宋" w:eastAsia="仿宋_GB2312" w:cs="仿宋"/>
                <w:sz w:val="22"/>
                <w:szCs w:val="20"/>
              </w:rPr>
              <w:t xml:space="preserve">20 </w:t>
            </w:r>
          </w:p>
        </w:tc>
      </w:tr>
      <w:tr w14:paraId="1363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0" w:type="dxa"/>
            <w:shd w:val="clear" w:color="auto" w:fill="auto"/>
            <w:vAlign w:val="center"/>
          </w:tcPr>
          <w:p w14:paraId="2AFD62C9">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2</w:t>
            </w:r>
          </w:p>
        </w:tc>
        <w:tc>
          <w:tcPr>
            <w:tcW w:w="2215" w:type="dxa"/>
            <w:shd w:val="clear" w:color="auto" w:fill="auto"/>
            <w:vAlign w:val="center"/>
          </w:tcPr>
          <w:p w14:paraId="0EC07823">
            <w:pPr>
              <w:widowControl/>
              <w:jc w:val="center"/>
              <w:rPr>
                <w:rFonts w:ascii="宋体" w:hAnsi="宋体" w:eastAsia="宋体" w:cs="Times New Roman"/>
                <w:kern w:val="0"/>
                <w:sz w:val="22"/>
              </w:rPr>
            </w:pPr>
            <w:r>
              <w:rPr>
                <w:rFonts w:hint="eastAsia" w:ascii="宋体" w:hAnsi="宋体" w:eastAsia="宋体" w:cs="Times New Roman"/>
                <w:kern w:val="0"/>
                <w:sz w:val="22"/>
              </w:rPr>
              <w:t>机械工程学院</w:t>
            </w:r>
          </w:p>
          <w:p w14:paraId="7B642B55">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80" w:type="dxa"/>
            <w:shd w:val="clear" w:color="auto" w:fill="auto"/>
            <w:vAlign w:val="center"/>
          </w:tcPr>
          <w:p w14:paraId="3912F175">
            <w:pPr>
              <w:widowControl/>
              <w:jc w:val="left"/>
              <w:rPr>
                <w:rFonts w:ascii="Times New Roman" w:hAnsi="Times New Roman" w:eastAsia="宋体" w:cs="Times New Roman"/>
                <w:kern w:val="0"/>
                <w:sz w:val="22"/>
              </w:rPr>
            </w:pPr>
            <w:r>
              <w:rPr>
                <w:rFonts w:hint="eastAsia" w:ascii="宋体" w:hAnsi="宋体" w:eastAsia="宋体" w:cs="Times New Roman"/>
                <w:kern w:val="0"/>
                <w:sz w:val="22"/>
              </w:rPr>
              <w:t>物理学类、力学类、机械工程类，光学工程、仪器科学与技术类，材料科学与工程类，冶金工程类、动力工程及工程热物理类，电气工程类，电子科学与技术类，信息与通信工程类，控制科学与工程类，计算机科学与技术类，矿业工程类、交通运输工程类，船舶与海洋工程类，航空宇航科学与技术类，兵器科学与技术类，农业工程类，林业工程类、软件工程类</w:t>
            </w:r>
          </w:p>
        </w:tc>
        <w:tc>
          <w:tcPr>
            <w:tcW w:w="993" w:type="dxa"/>
            <w:shd w:val="clear" w:color="auto" w:fill="auto"/>
            <w:vAlign w:val="center"/>
          </w:tcPr>
          <w:p w14:paraId="4FE6C3E6">
            <w:pPr>
              <w:widowControl/>
              <w:adjustRightInd w:val="0"/>
              <w:snapToGrid w:val="0"/>
              <w:jc w:val="center"/>
              <w:textAlignment w:val="center"/>
              <w:rPr>
                <w:rFonts w:ascii="仿宋_GB2312" w:hAnsi="仿宋" w:eastAsia="仿宋_GB2312" w:cs="仿宋"/>
                <w:sz w:val="22"/>
                <w:szCs w:val="20"/>
              </w:rPr>
            </w:pPr>
            <w:r>
              <w:rPr>
                <w:rFonts w:ascii="仿宋_GB2312" w:hAnsi="仿宋" w:eastAsia="仿宋_GB2312" w:cs="仿宋"/>
                <w:sz w:val="22"/>
                <w:szCs w:val="20"/>
              </w:rPr>
              <w:t>研究生/博士</w:t>
            </w:r>
          </w:p>
        </w:tc>
        <w:tc>
          <w:tcPr>
            <w:tcW w:w="782" w:type="dxa"/>
            <w:vMerge w:val="continue"/>
            <w:shd w:val="clear" w:color="auto" w:fill="auto"/>
            <w:vAlign w:val="center"/>
          </w:tcPr>
          <w:p w14:paraId="3DE863CD">
            <w:pPr>
              <w:jc w:val="center"/>
              <w:rPr>
                <w:rFonts w:ascii="仿宋_GB2312" w:hAnsi="仿宋" w:eastAsia="仿宋_GB2312" w:cs="仿宋"/>
                <w:sz w:val="22"/>
                <w:szCs w:val="20"/>
              </w:rPr>
            </w:pPr>
          </w:p>
        </w:tc>
      </w:tr>
      <w:tr w14:paraId="78FF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0" w:type="dxa"/>
            <w:shd w:val="clear" w:color="auto" w:fill="auto"/>
            <w:vAlign w:val="center"/>
          </w:tcPr>
          <w:p w14:paraId="7AADA2BA">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3</w:t>
            </w:r>
          </w:p>
        </w:tc>
        <w:tc>
          <w:tcPr>
            <w:tcW w:w="2215" w:type="dxa"/>
            <w:shd w:val="clear" w:color="auto" w:fill="auto"/>
            <w:vAlign w:val="center"/>
          </w:tcPr>
          <w:p w14:paraId="1BC4CB86">
            <w:pPr>
              <w:widowControl/>
              <w:jc w:val="center"/>
              <w:rPr>
                <w:rFonts w:ascii="宋体" w:hAnsi="宋体" w:eastAsia="宋体" w:cs="Times New Roman"/>
                <w:kern w:val="0"/>
                <w:sz w:val="22"/>
              </w:rPr>
            </w:pPr>
            <w:r>
              <w:rPr>
                <w:rFonts w:hint="eastAsia" w:ascii="宋体" w:hAnsi="宋体" w:eastAsia="宋体" w:cs="Times New Roman"/>
                <w:kern w:val="0"/>
                <w:sz w:val="22"/>
              </w:rPr>
              <w:t>建筑工程学院</w:t>
            </w:r>
          </w:p>
          <w:p w14:paraId="2001E29F">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80" w:type="dxa"/>
            <w:shd w:val="clear" w:color="auto" w:fill="auto"/>
            <w:vAlign w:val="center"/>
          </w:tcPr>
          <w:p w14:paraId="2497251A">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力学类、建筑学类、土木工程类、管理科学与工程类、水利工程类、交通运输工程类、材料科学与工程类、计算机科学与技术类、地质资源与地质工程类、农业工程类、林业工程类</w:t>
            </w:r>
          </w:p>
        </w:tc>
        <w:tc>
          <w:tcPr>
            <w:tcW w:w="993" w:type="dxa"/>
            <w:shd w:val="clear" w:color="auto" w:fill="auto"/>
            <w:vAlign w:val="center"/>
          </w:tcPr>
          <w:p w14:paraId="34C98690">
            <w:pPr>
              <w:widowControl/>
              <w:adjustRightInd w:val="0"/>
              <w:snapToGrid w:val="0"/>
              <w:jc w:val="center"/>
              <w:textAlignment w:val="center"/>
              <w:rPr>
                <w:rFonts w:ascii="仿宋_GB2312" w:hAnsi="仿宋" w:eastAsia="仿宋_GB2312" w:cs="仿宋"/>
                <w:sz w:val="22"/>
                <w:szCs w:val="20"/>
              </w:rPr>
            </w:pPr>
            <w:r>
              <w:rPr>
                <w:rFonts w:ascii="仿宋_GB2312" w:hAnsi="仿宋" w:eastAsia="仿宋_GB2312" w:cs="仿宋"/>
                <w:sz w:val="22"/>
              </w:rPr>
              <w:t>研究生/博士</w:t>
            </w:r>
          </w:p>
        </w:tc>
        <w:tc>
          <w:tcPr>
            <w:tcW w:w="782" w:type="dxa"/>
            <w:vMerge w:val="continue"/>
            <w:shd w:val="clear" w:color="auto" w:fill="auto"/>
            <w:vAlign w:val="center"/>
          </w:tcPr>
          <w:p w14:paraId="550DE0F7">
            <w:pPr>
              <w:jc w:val="center"/>
              <w:rPr>
                <w:rFonts w:ascii="仿宋_GB2312" w:hAnsi="仿宋" w:eastAsia="仿宋_GB2312" w:cs="仿宋"/>
                <w:sz w:val="22"/>
                <w:szCs w:val="20"/>
              </w:rPr>
            </w:pPr>
          </w:p>
        </w:tc>
      </w:tr>
      <w:tr w14:paraId="46CA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0" w:type="dxa"/>
            <w:shd w:val="clear" w:color="auto" w:fill="auto"/>
            <w:vAlign w:val="center"/>
          </w:tcPr>
          <w:p w14:paraId="22DED0E0">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4</w:t>
            </w:r>
          </w:p>
        </w:tc>
        <w:tc>
          <w:tcPr>
            <w:tcW w:w="2215" w:type="dxa"/>
            <w:shd w:val="clear" w:color="auto" w:fill="auto"/>
            <w:vAlign w:val="center"/>
          </w:tcPr>
          <w:p w14:paraId="1C6500DC">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电气与信息工程学院专任教师</w:t>
            </w:r>
          </w:p>
        </w:tc>
        <w:tc>
          <w:tcPr>
            <w:tcW w:w="5280" w:type="dxa"/>
            <w:shd w:val="clear" w:color="auto" w:fill="auto"/>
            <w:vAlign w:val="center"/>
          </w:tcPr>
          <w:p w14:paraId="524C7A07">
            <w:pPr>
              <w:widowControl/>
              <w:jc w:val="left"/>
              <w:rPr>
                <w:rFonts w:ascii="Times New Roman" w:hAnsi="Times New Roman" w:eastAsia="宋体" w:cs="Times New Roman"/>
                <w:kern w:val="0"/>
                <w:sz w:val="22"/>
              </w:rPr>
            </w:pPr>
            <w:r>
              <w:rPr>
                <w:rFonts w:hint="eastAsia" w:ascii="宋体" w:hAnsi="宋体" w:eastAsia="宋体" w:cs="Times New Roman"/>
                <w:kern w:val="0"/>
                <w:sz w:val="22"/>
              </w:rPr>
              <w:t>电气工程类、控制科学与工程类、信息与通信工程类、电子科学与技术类、机械工程类、计算机科学与技术类、生物医学工程类、软件工程类、网络空间安全类、数学类、物理学类、统计学类、仪器科学与技术类、管理科学与工程类、光学工程类、核科学与技术类、材料科学与工程类、土木工程类、测绘科学与技术类、地质资源与地质工程类、环境科学与工程类、农业工程类。</w:t>
            </w:r>
          </w:p>
        </w:tc>
        <w:tc>
          <w:tcPr>
            <w:tcW w:w="993" w:type="dxa"/>
            <w:shd w:val="clear" w:color="auto" w:fill="auto"/>
            <w:vAlign w:val="center"/>
          </w:tcPr>
          <w:p w14:paraId="21EA821B">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82" w:type="dxa"/>
            <w:vMerge w:val="continue"/>
            <w:shd w:val="clear" w:color="auto" w:fill="auto"/>
            <w:vAlign w:val="center"/>
          </w:tcPr>
          <w:p w14:paraId="78292CC9">
            <w:pPr>
              <w:jc w:val="center"/>
              <w:rPr>
                <w:rFonts w:ascii="Times New Roman" w:hAnsi="Times New Roman" w:eastAsia="宋体" w:cs="Times New Roman"/>
                <w:kern w:val="0"/>
                <w:sz w:val="22"/>
              </w:rPr>
            </w:pPr>
          </w:p>
        </w:tc>
      </w:tr>
      <w:tr w14:paraId="0B71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0" w:type="dxa"/>
            <w:shd w:val="clear" w:color="auto" w:fill="auto"/>
            <w:vAlign w:val="center"/>
          </w:tcPr>
          <w:p w14:paraId="0EF71D66">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5</w:t>
            </w:r>
          </w:p>
        </w:tc>
        <w:tc>
          <w:tcPr>
            <w:tcW w:w="2215" w:type="dxa"/>
            <w:shd w:val="clear" w:color="auto" w:fill="auto"/>
            <w:vAlign w:val="center"/>
          </w:tcPr>
          <w:p w14:paraId="34DAE263">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商学院专任教师（省际合作发展研究院）</w:t>
            </w:r>
          </w:p>
        </w:tc>
        <w:tc>
          <w:tcPr>
            <w:tcW w:w="5280" w:type="dxa"/>
            <w:shd w:val="clear" w:color="auto" w:fill="auto"/>
            <w:vAlign w:val="center"/>
          </w:tcPr>
          <w:p w14:paraId="1E91EC38">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工商管理类、理论经济学类、应用经济学类、统计学类、法学类、政治学类、社会学类、地理学类、管理科学与工程类、农林经济管理类、公共管理类、图书情报与档案管理类、计算机科学与技术类</w:t>
            </w:r>
          </w:p>
        </w:tc>
        <w:tc>
          <w:tcPr>
            <w:tcW w:w="993" w:type="dxa"/>
            <w:shd w:val="clear" w:color="auto" w:fill="auto"/>
            <w:vAlign w:val="center"/>
          </w:tcPr>
          <w:p w14:paraId="22CFDC9E">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82" w:type="dxa"/>
            <w:vMerge w:val="continue"/>
            <w:shd w:val="clear" w:color="auto" w:fill="auto"/>
            <w:vAlign w:val="center"/>
          </w:tcPr>
          <w:p w14:paraId="20E3F2EB">
            <w:pPr>
              <w:jc w:val="center"/>
              <w:rPr>
                <w:rFonts w:ascii="Times New Roman" w:hAnsi="Times New Roman" w:eastAsia="宋体" w:cs="Times New Roman"/>
                <w:kern w:val="0"/>
                <w:sz w:val="22"/>
              </w:rPr>
            </w:pPr>
          </w:p>
        </w:tc>
      </w:tr>
      <w:tr w14:paraId="446D3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0" w:type="dxa"/>
            <w:shd w:val="clear" w:color="auto" w:fill="auto"/>
            <w:vAlign w:val="center"/>
          </w:tcPr>
          <w:p w14:paraId="0B357584">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6</w:t>
            </w:r>
          </w:p>
        </w:tc>
        <w:tc>
          <w:tcPr>
            <w:tcW w:w="2215" w:type="dxa"/>
            <w:shd w:val="clear" w:color="auto" w:fill="auto"/>
            <w:vAlign w:val="center"/>
          </w:tcPr>
          <w:p w14:paraId="3E89BC26">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教师教育学院</w:t>
            </w:r>
            <w:r>
              <w:rPr>
                <w:rFonts w:hint="eastAsia" w:ascii="宋体" w:hAnsi="宋体" w:eastAsia="宋体" w:cs="Times New Roman"/>
                <w:kern w:val="0"/>
                <w:sz w:val="22"/>
              </w:rPr>
              <w:br w:type="textWrapping"/>
            </w:r>
            <w:r>
              <w:rPr>
                <w:rFonts w:hint="eastAsia" w:ascii="宋体" w:hAnsi="宋体" w:eastAsia="宋体" w:cs="Times New Roman"/>
                <w:kern w:val="0"/>
                <w:sz w:val="22"/>
              </w:rPr>
              <w:t>专任教师</w:t>
            </w:r>
          </w:p>
        </w:tc>
        <w:tc>
          <w:tcPr>
            <w:tcW w:w="5280" w:type="dxa"/>
            <w:shd w:val="clear" w:color="auto" w:fill="auto"/>
            <w:vAlign w:val="center"/>
          </w:tcPr>
          <w:p w14:paraId="55CC801A">
            <w:pPr>
              <w:widowControl/>
              <w:jc w:val="left"/>
              <w:rPr>
                <w:rFonts w:ascii="Times New Roman" w:hAnsi="Times New Roman" w:eastAsia="宋体" w:cs="Times New Roman"/>
                <w:kern w:val="0"/>
                <w:sz w:val="22"/>
              </w:rPr>
            </w:pPr>
            <w:r>
              <w:rPr>
                <w:rFonts w:hint="eastAsia" w:ascii="宋体" w:hAnsi="宋体" w:eastAsia="宋体" w:cs="Times New Roman"/>
                <w:kern w:val="0"/>
                <w:sz w:val="22"/>
              </w:rPr>
              <w:t>中国语言文学类、新闻传播学类、教育学类、心理学类、数学类、统计学类、公共管理类、管理科学与工程类、哲学类、物理学类、艺术学理论类、音乐与舞蹈学类、戏剧与影视学类、美术学类、设计学类</w:t>
            </w:r>
          </w:p>
        </w:tc>
        <w:tc>
          <w:tcPr>
            <w:tcW w:w="993" w:type="dxa"/>
            <w:shd w:val="clear" w:color="auto" w:fill="auto"/>
            <w:vAlign w:val="center"/>
          </w:tcPr>
          <w:p w14:paraId="1DF6C117">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82" w:type="dxa"/>
            <w:vMerge w:val="continue"/>
            <w:shd w:val="clear" w:color="auto" w:fill="auto"/>
            <w:vAlign w:val="center"/>
          </w:tcPr>
          <w:p w14:paraId="0415B409">
            <w:pPr>
              <w:jc w:val="center"/>
              <w:rPr>
                <w:rFonts w:ascii="Times New Roman" w:hAnsi="Times New Roman" w:eastAsia="宋体" w:cs="Times New Roman"/>
                <w:kern w:val="0"/>
                <w:sz w:val="22"/>
              </w:rPr>
            </w:pPr>
          </w:p>
        </w:tc>
      </w:tr>
      <w:tr w14:paraId="65CE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0" w:type="dxa"/>
            <w:shd w:val="clear" w:color="auto" w:fill="auto"/>
            <w:vAlign w:val="center"/>
          </w:tcPr>
          <w:p w14:paraId="433AC09F">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7</w:t>
            </w:r>
          </w:p>
        </w:tc>
        <w:tc>
          <w:tcPr>
            <w:tcW w:w="2215" w:type="dxa"/>
            <w:shd w:val="clear" w:color="auto" w:fill="auto"/>
            <w:vAlign w:val="center"/>
          </w:tcPr>
          <w:p w14:paraId="2B44A02D">
            <w:pPr>
              <w:widowControl/>
              <w:jc w:val="center"/>
              <w:rPr>
                <w:rFonts w:ascii="宋体" w:hAnsi="宋体" w:eastAsia="宋体" w:cs="Times New Roman"/>
                <w:kern w:val="0"/>
                <w:sz w:val="22"/>
              </w:rPr>
            </w:pPr>
            <w:r>
              <w:rPr>
                <w:rFonts w:hint="eastAsia" w:ascii="宋体" w:hAnsi="宋体" w:eastAsia="宋体" w:cs="Times New Roman"/>
                <w:kern w:val="0"/>
                <w:sz w:val="22"/>
              </w:rPr>
              <w:t>外国语学院</w:t>
            </w:r>
          </w:p>
          <w:p w14:paraId="5B442CD8">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80" w:type="dxa"/>
            <w:shd w:val="clear" w:color="auto" w:fill="auto"/>
            <w:vAlign w:val="center"/>
          </w:tcPr>
          <w:p w14:paraId="3CED49C2">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外国语言文学类；有外国语言文学背景的（本科或硕士是外语专业；外语能力达到相应水平的）应用经济学类、工商管理类、教育学类、心理学类、中国语言文学类</w:t>
            </w:r>
          </w:p>
        </w:tc>
        <w:tc>
          <w:tcPr>
            <w:tcW w:w="993" w:type="dxa"/>
            <w:shd w:val="clear" w:color="auto" w:fill="auto"/>
            <w:vAlign w:val="center"/>
          </w:tcPr>
          <w:p w14:paraId="0F865E6F">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r>
              <w:rPr>
                <w:rFonts w:ascii="Times New Roman" w:hAnsi="Times New Roman" w:eastAsia="宋体" w:cs="Times New Roman"/>
                <w:kern w:val="0"/>
                <w:sz w:val="22"/>
              </w:rPr>
              <w:t xml:space="preserve">    </w:t>
            </w:r>
          </w:p>
        </w:tc>
        <w:tc>
          <w:tcPr>
            <w:tcW w:w="782" w:type="dxa"/>
            <w:vMerge w:val="continue"/>
            <w:shd w:val="clear" w:color="auto" w:fill="auto"/>
            <w:vAlign w:val="center"/>
          </w:tcPr>
          <w:p w14:paraId="465680A0">
            <w:pPr>
              <w:jc w:val="center"/>
              <w:rPr>
                <w:rFonts w:ascii="Times New Roman" w:hAnsi="Times New Roman" w:eastAsia="宋体" w:cs="Times New Roman"/>
                <w:kern w:val="0"/>
                <w:sz w:val="22"/>
              </w:rPr>
            </w:pPr>
          </w:p>
        </w:tc>
      </w:tr>
      <w:tr w14:paraId="7613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710" w:type="dxa"/>
            <w:shd w:val="clear" w:color="auto" w:fill="auto"/>
            <w:vAlign w:val="center"/>
          </w:tcPr>
          <w:p w14:paraId="7792D63C">
            <w:pPr>
              <w:adjustRightInd w:val="0"/>
              <w:snapToGrid w:val="0"/>
              <w:jc w:val="center"/>
              <w:rPr>
                <w:rFonts w:ascii="仿宋_GB2312" w:hAnsi="仿宋" w:eastAsia="仿宋_GB2312" w:cs="仿宋"/>
                <w:sz w:val="22"/>
                <w:szCs w:val="20"/>
              </w:rPr>
            </w:pPr>
            <w:r>
              <w:rPr>
                <w:rFonts w:ascii="仿宋_GB2312" w:hAnsi="仿宋" w:eastAsia="仿宋_GB2312" w:cs="仿宋"/>
                <w:sz w:val="22"/>
                <w:szCs w:val="20"/>
              </w:rPr>
              <w:t>8</w:t>
            </w:r>
          </w:p>
        </w:tc>
        <w:tc>
          <w:tcPr>
            <w:tcW w:w="2215" w:type="dxa"/>
            <w:shd w:val="clear" w:color="auto" w:fill="auto"/>
            <w:vAlign w:val="center"/>
          </w:tcPr>
          <w:p w14:paraId="60ACCB7F">
            <w:pPr>
              <w:widowControl/>
              <w:jc w:val="center"/>
              <w:rPr>
                <w:rFonts w:ascii="宋体" w:hAnsi="宋体" w:eastAsia="宋体" w:cs="Times New Roman"/>
                <w:kern w:val="0"/>
                <w:sz w:val="22"/>
              </w:rPr>
            </w:pPr>
            <w:r>
              <w:rPr>
                <w:rFonts w:hint="eastAsia" w:ascii="宋体" w:hAnsi="宋体" w:eastAsia="宋体" w:cs="Times New Roman"/>
                <w:kern w:val="0"/>
                <w:sz w:val="22"/>
              </w:rPr>
              <w:t>马克思主义学院</w:t>
            </w:r>
          </w:p>
          <w:p w14:paraId="557820FE">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80" w:type="dxa"/>
            <w:shd w:val="clear" w:color="auto" w:fill="auto"/>
            <w:vAlign w:val="center"/>
          </w:tcPr>
          <w:p w14:paraId="424AA1AB">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哲学类、法学类、政治学类、社会学类、马克思主义理论类、中国史类、世界史类、公共管理类</w:t>
            </w:r>
          </w:p>
        </w:tc>
        <w:tc>
          <w:tcPr>
            <w:tcW w:w="993" w:type="dxa"/>
            <w:shd w:val="clear" w:color="auto" w:fill="auto"/>
            <w:vAlign w:val="center"/>
          </w:tcPr>
          <w:p w14:paraId="29751013">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82" w:type="dxa"/>
            <w:vMerge w:val="continue"/>
            <w:shd w:val="clear" w:color="auto" w:fill="auto"/>
            <w:vAlign w:val="center"/>
          </w:tcPr>
          <w:p w14:paraId="18F9F4F7">
            <w:pPr>
              <w:widowControl/>
              <w:jc w:val="center"/>
              <w:rPr>
                <w:rFonts w:ascii="Times New Roman" w:hAnsi="Times New Roman" w:eastAsia="宋体" w:cs="Times New Roman"/>
                <w:kern w:val="0"/>
                <w:sz w:val="22"/>
              </w:rPr>
            </w:pPr>
          </w:p>
        </w:tc>
      </w:tr>
    </w:tbl>
    <w:p w14:paraId="76397E6B">
      <w:pPr>
        <w:pStyle w:val="5"/>
        <w:numPr>
          <w:ilvl w:val="0"/>
          <w:numId w:val="1"/>
        </w:numPr>
        <w:overflowPunct w:val="0"/>
        <w:spacing w:line="360" w:lineRule="auto"/>
        <w:ind w:left="0" w:right="111" w:firstLine="354" w:firstLineChars="147"/>
        <w:rPr>
          <w:rFonts w:ascii="仿宋_GB2312" w:eastAsia="仿宋_GB2312"/>
          <w:b/>
          <w:bCs/>
        </w:rPr>
      </w:pPr>
      <w:r>
        <w:rPr>
          <w:rFonts w:hint="eastAsia" w:ascii="仿宋_GB2312" w:eastAsia="仿宋_GB2312"/>
          <w:b/>
          <w:bCs/>
        </w:rPr>
        <w:t>F 类高层次人才</w:t>
      </w:r>
    </w:p>
    <w:tbl>
      <w:tblPr>
        <w:tblStyle w:val="10"/>
        <w:tblW w:w="9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249"/>
        <w:gridCol w:w="5244"/>
        <w:gridCol w:w="993"/>
        <w:gridCol w:w="779"/>
      </w:tblGrid>
      <w:tr w14:paraId="2531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9" w:type="dxa"/>
            <w:shd w:val="clear" w:color="auto" w:fill="auto"/>
            <w:vAlign w:val="center"/>
          </w:tcPr>
          <w:p w14:paraId="0BDF464D">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序号</w:t>
            </w:r>
          </w:p>
        </w:tc>
        <w:tc>
          <w:tcPr>
            <w:tcW w:w="2249" w:type="dxa"/>
            <w:shd w:val="clear" w:color="auto" w:fill="auto"/>
            <w:vAlign w:val="center"/>
          </w:tcPr>
          <w:p w14:paraId="6D222E78">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岗位名称</w:t>
            </w:r>
          </w:p>
        </w:tc>
        <w:tc>
          <w:tcPr>
            <w:tcW w:w="5244" w:type="dxa"/>
            <w:shd w:val="clear" w:color="auto" w:fill="auto"/>
            <w:vAlign w:val="center"/>
          </w:tcPr>
          <w:p w14:paraId="40D3CFCB">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专业要求</w:t>
            </w:r>
          </w:p>
        </w:tc>
        <w:tc>
          <w:tcPr>
            <w:tcW w:w="993" w:type="dxa"/>
            <w:shd w:val="clear" w:color="auto" w:fill="auto"/>
            <w:vAlign w:val="center"/>
          </w:tcPr>
          <w:p w14:paraId="1D981EA1">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学历、学位要求</w:t>
            </w:r>
          </w:p>
        </w:tc>
        <w:tc>
          <w:tcPr>
            <w:tcW w:w="779" w:type="dxa"/>
            <w:shd w:val="clear" w:color="auto" w:fill="auto"/>
            <w:vAlign w:val="center"/>
          </w:tcPr>
          <w:p w14:paraId="757AD9C4">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需求人数</w:t>
            </w:r>
          </w:p>
        </w:tc>
      </w:tr>
      <w:tr w14:paraId="2FB6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9" w:type="dxa"/>
            <w:shd w:val="clear" w:color="auto" w:fill="auto"/>
            <w:vAlign w:val="center"/>
          </w:tcPr>
          <w:p w14:paraId="6C12B900">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1</w:t>
            </w:r>
          </w:p>
        </w:tc>
        <w:tc>
          <w:tcPr>
            <w:tcW w:w="2249" w:type="dxa"/>
            <w:shd w:val="clear" w:color="auto" w:fill="auto"/>
            <w:vAlign w:val="center"/>
          </w:tcPr>
          <w:p w14:paraId="2A26E809">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化学与材料工程学院专任教师</w:t>
            </w:r>
          </w:p>
        </w:tc>
        <w:tc>
          <w:tcPr>
            <w:tcW w:w="5244" w:type="dxa"/>
            <w:shd w:val="clear" w:color="auto" w:fill="auto"/>
            <w:vAlign w:val="center"/>
          </w:tcPr>
          <w:p w14:paraId="0D1F709E">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化学类、材料科学与工程类、化学工程与技术类、环境科学与工程类、轻工技术与工程类、农业资源与环境类、安全科学与工程类、物理学类、动力工程及工程热物理类、林业工程类、生物学类（微生物学）、生态学类</w:t>
            </w:r>
          </w:p>
        </w:tc>
        <w:tc>
          <w:tcPr>
            <w:tcW w:w="993" w:type="dxa"/>
            <w:shd w:val="clear" w:color="auto" w:fill="auto"/>
            <w:vAlign w:val="center"/>
          </w:tcPr>
          <w:p w14:paraId="7E5AA8F3">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restart"/>
            <w:shd w:val="clear" w:color="auto" w:fill="auto"/>
            <w:vAlign w:val="center"/>
          </w:tcPr>
          <w:p w14:paraId="148AE1E8">
            <w:pPr>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 xml:space="preserve">85 </w:t>
            </w:r>
          </w:p>
        </w:tc>
      </w:tr>
      <w:tr w14:paraId="1A364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09" w:type="dxa"/>
            <w:shd w:val="clear" w:color="auto" w:fill="auto"/>
            <w:vAlign w:val="center"/>
          </w:tcPr>
          <w:p w14:paraId="6A065710">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2</w:t>
            </w:r>
          </w:p>
        </w:tc>
        <w:tc>
          <w:tcPr>
            <w:tcW w:w="2249" w:type="dxa"/>
            <w:shd w:val="clear" w:color="auto" w:fill="auto"/>
            <w:vAlign w:val="center"/>
          </w:tcPr>
          <w:p w14:paraId="1BA1F54E">
            <w:pPr>
              <w:widowControl/>
              <w:jc w:val="center"/>
              <w:rPr>
                <w:rFonts w:ascii="宋体" w:hAnsi="宋体" w:eastAsia="宋体" w:cs="Times New Roman"/>
                <w:kern w:val="0"/>
                <w:sz w:val="22"/>
              </w:rPr>
            </w:pPr>
            <w:r>
              <w:rPr>
                <w:rFonts w:hint="eastAsia" w:ascii="宋体" w:hAnsi="宋体" w:eastAsia="宋体" w:cs="Times New Roman"/>
                <w:kern w:val="0"/>
                <w:sz w:val="22"/>
              </w:rPr>
              <w:t>机械工程学院</w:t>
            </w:r>
          </w:p>
          <w:p w14:paraId="3E157A3B">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44" w:type="dxa"/>
            <w:shd w:val="clear" w:color="auto" w:fill="auto"/>
            <w:vAlign w:val="center"/>
          </w:tcPr>
          <w:p w14:paraId="14814C60">
            <w:pPr>
              <w:widowControl/>
              <w:jc w:val="left"/>
              <w:rPr>
                <w:rFonts w:ascii="Times New Roman" w:hAnsi="Times New Roman" w:eastAsia="宋体" w:cs="Times New Roman"/>
                <w:kern w:val="0"/>
                <w:sz w:val="22"/>
              </w:rPr>
            </w:pPr>
            <w:r>
              <w:rPr>
                <w:rFonts w:hint="eastAsia" w:ascii="宋体" w:hAnsi="宋体" w:eastAsia="宋体" w:cs="Times New Roman"/>
                <w:kern w:val="0"/>
                <w:sz w:val="22"/>
              </w:rPr>
              <w:t>物理学类、力学类、机械工程类，光学工程、仪器科学与技术类，材料科学与工程类，冶金工程类、动力工程及工程热物理类，电气工程类，电子科学与技术类，信息与通信工程类，控制科学与工程类，计算机科学与技术类，矿业工程类、交通运输工程类，船舶与海洋工程类，航空宇航科学与技术类，兵器科学与技术类，农业工程类，林业工程类、软件工程类</w:t>
            </w:r>
          </w:p>
        </w:tc>
        <w:tc>
          <w:tcPr>
            <w:tcW w:w="993" w:type="dxa"/>
            <w:shd w:val="clear" w:color="auto" w:fill="auto"/>
            <w:vAlign w:val="center"/>
          </w:tcPr>
          <w:p w14:paraId="479E1FBC">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5F549E1E">
            <w:pPr>
              <w:jc w:val="center"/>
              <w:rPr>
                <w:rFonts w:ascii="Times New Roman" w:hAnsi="Times New Roman" w:eastAsia="宋体" w:cs="Times New Roman"/>
                <w:kern w:val="0"/>
                <w:sz w:val="22"/>
              </w:rPr>
            </w:pPr>
          </w:p>
        </w:tc>
      </w:tr>
      <w:tr w14:paraId="02D32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9" w:type="dxa"/>
            <w:shd w:val="clear" w:color="auto" w:fill="auto"/>
            <w:vAlign w:val="center"/>
          </w:tcPr>
          <w:p w14:paraId="5976A404">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3</w:t>
            </w:r>
          </w:p>
        </w:tc>
        <w:tc>
          <w:tcPr>
            <w:tcW w:w="2249" w:type="dxa"/>
            <w:shd w:val="clear" w:color="auto" w:fill="auto"/>
            <w:vAlign w:val="center"/>
          </w:tcPr>
          <w:p w14:paraId="5AF74E4E">
            <w:pPr>
              <w:widowControl/>
              <w:jc w:val="center"/>
              <w:rPr>
                <w:rFonts w:ascii="宋体" w:hAnsi="宋体" w:eastAsia="宋体" w:cs="Times New Roman"/>
                <w:kern w:val="0"/>
                <w:sz w:val="22"/>
              </w:rPr>
            </w:pPr>
            <w:r>
              <w:rPr>
                <w:rFonts w:hint="eastAsia" w:ascii="宋体" w:hAnsi="宋体" w:eastAsia="宋体" w:cs="Times New Roman"/>
                <w:kern w:val="0"/>
                <w:sz w:val="22"/>
              </w:rPr>
              <w:t>建筑工程学院</w:t>
            </w:r>
          </w:p>
          <w:p w14:paraId="16503E14">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44" w:type="dxa"/>
            <w:shd w:val="clear" w:color="auto" w:fill="auto"/>
            <w:vAlign w:val="center"/>
          </w:tcPr>
          <w:p w14:paraId="6ADBE9D5">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力学类、建筑学类、土木工程类、管理科学与工程类、水利工程类、交通运输工程类、材料科学与工程类、计算机科学与技术类、地质资源与地质工程类、农业工程类、林业工程类、风景园林学类</w:t>
            </w:r>
          </w:p>
        </w:tc>
        <w:tc>
          <w:tcPr>
            <w:tcW w:w="993" w:type="dxa"/>
            <w:shd w:val="clear" w:color="auto" w:fill="auto"/>
            <w:vAlign w:val="center"/>
          </w:tcPr>
          <w:p w14:paraId="018ECF9F">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7DA708D8">
            <w:pPr>
              <w:jc w:val="center"/>
              <w:rPr>
                <w:rFonts w:ascii="Times New Roman" w:hAnsi="Times New Roman" w:eastAsia="宋体" w:cs="Times New Roman"/>
                <w:kern w:val="0"/>
                <w:sz w:val="22"/>
              </w:rPr>
            </w:pPr>
          </w:p>
        </w:tc>
      </w:tr>
      <w:tr w14:paraId="0962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09" w:type="dxa"/>
            <w:shd w:val="clear" w:color="auto" w:fill="auto"/>
            <w:vAlign w:val="center"/>
          </w:tcPr>
          <w:p w14:paraId="1D6DC191">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4</w:t>
            </w:r>
          </w:p>
        </w:tc>
        <w:tc>
          <w:tcPr>
            <w:tcW w:w="2249" w:type="dxa"/>
            <w:shd w:val="clear" w:color="auto" w:fill="auto"/>
            <w:vAlign w:val="center"/>
          </w:tcPr>
          <w:p w14:paraId="04E5CA96">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电气与信息工程学院专任教师</w:t>
            </w:r>
          </w:p>
        </w:tc>
        <w:tc>
          <w:tcPr>
            <w:tcW w:w="5244" w:type="dxa"/>
            <w:shd w:val="clear" w:color="auto" w:fill="auto"/>
            <w:vAlign w:val="center"/>
          </w:tcPr>
          <w:p w14:paraId="059D073C">
            <w:pPr>
              <w:widowControl/>
              <w:jc w:val="left"/>
              <w:rPr>
                <w:rFonts w:ascii="Times New Roman" w:hAnsi="Times New Roman" w:eastAsia="宋体" w:cs="Times New Roman"/>
                <w:kern w:val="0"/>
                <w:sz w:val="22"/>
              </w:rPr>
            </w:pPr>
            <w:r>
              <w:rPr>
                <w:rFonts w:hint="eastAsia" w:ascii="宋体" w:hAnsi="宋体" w:eastAsia="宋体" w:cs="Times New Roman"/>
                <w:kern w:val="0"/>
                <w:sz w:val="22"/>
              </w:rPr>
              <w:t>电气工程类、控制科学与工程类、信息与通信工程类、电子科学与技术类、机械工程类、计算机科学与技术类、生物医学工程类、软件工程类、网络空间安全类、数学类、物理学类、统计学类、仪器科学与技术类、管理科学与工程类、光学工程类、核科学与技术类、材料科学与工程类、土木工程类、测绘科学与技术类、地质资源与地质工程类、环境科学与工程类、农业工程类</w:t>
            </w:r>
          </w:p>
        </w:tc>
        <w:tc>
          <w:tcPr>
            <w:tcW w:w="993" w:type="dxa"/>
            <w:shd w:val="clear" w:color="auto" w:fill="auto"/>
            <w:vAlign w:val="center"/>
          </w:tcPr>
          <w:p w14:paraId="39ACEAE5">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1BDDE93D">
            <w:pPr>
              <w:jc w:val="center"/>
              <w:rPr>
                <w:rFonts w:ascii="Times New Roman" w:hAnsi="Times New Roman" w:eastAsia="宋体" w:cs="Times New Roman"/>
                <w:kern w:val="0"/>
                <w:sz w:val="22"/>
              </w:rPr>
            </w:pPr>
          </w:p>
        </w:tc>
      </w:tr>
      <w:tr w14:paraId="534B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09" w:type="dxa"/>
            <w:shd w:val="clear" w:color="auto" w:fill="auto"/>
            <w:vAlign w:val="center"/>
          </w:tcPr>
          <w:p w14:paraId="285410D1">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5</w:t>
            </w:r>
          </w:p>
        </w:tc>
        <w:tc>
          <w:tcPr>
            <w:tcW w:w="2249" w:type="dxa"/>
            <w:shd w:val="clear" w:color="auto" w:fill="auto"/>
            <w:vAlign w:val="center"/>
          </w:tcPr>
          <w:p w14:paraId="446C89C0">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商学院专任教师（省际合作发展研究院）</w:t>
            </w:r>
          </w:p>
        </w:tc>
        <w:tc>
          <w:tcPr>
            <w:tcW w:w="5244" w:type="dxa"/>
            <w:shd w:val="clear" w:color="auto" w:fill="auto"/>
            <w:vAlign w:val="center"/>
          </w:tcPr>
          <w:p w14:paraId="6C49963E">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工商管理类、理论经济学类、应用经济学类、统计学类、法学类、政治学类、社会学类、地理学类、管理科学与工程类、农林经济管理类、公共管理类、图书情报与档案管理类、计算机科学与技术类</w:t>
            </w:r>
          </w:p>
        </w:tc>
        <w:tc>
          <w:tcPr>
            <w:tcW w:w="993" w:type="dxa"/>
            <w:shd w:val="clear" w:color="auto" w:fill="auto"/>
            <w:vAlign w:val="center"/>
          </w:tcPr>
          <w:p w14:paraId="63EC2AE7">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0A836FD5">
            <w:pPr>
              <w:jc w:val="center"/>
              <w:rPr>
                <w:rFonts w:ascii="Times New Roman" w:hAnsi="Times New Roman" w:eastAsia="宋体" w:cs="Times New Roman"/>
                <w:kern w:val="0"/>
                <w:sz w:val="22"/>
              </w:rPr>
            </w:pPr>
          </w:p>
        </w:tc>
      </w:tr>
      <w:tr w14:paraId="2F96A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9" w:type="dxa"/>
            <w:shd w:val="clear" w:color="auto" w:fill="auto"/>
            <w:vAlign w:val="center"/>
          </w:tcPr>
          <w:p w14:paraId="54CCBB6E">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6</w:t>
            </w:r>
          </w:p>
        </w:tc>
        <w:tc>
          <w:tcPr>
            <w:tcW w:w="2249" w:type="dxa"/>
            <w:shd w:val="clear" w:color="auto" w:fill="auto"/>
            <w:vAlign w:val="center"/>
          </w:tcPr>
          <w:p w14:paraId="14F21E44">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教师教育学院</w:t>
            </w:r>
            <w:r>
              <w:rPr>
                <w:rFonts w:hint="eastAsia" w:ascii="宋体" w:hAnsi="宋体" w:eastAsia="宋体" w:cs="Times New Roman"/>
                <w:kern w:val="0"/>
                <w:sz w:val="22"/>
              </w:rPr>
              <w:br w:type="textWrapping"/>
            </w:r>
            <w:r>
              <w:rPr>
                <w:rFonts w:hint="eastAsia" w:ascii="宋体" w:hAnsi="宋体" w:eastAsia="宋体" w:cs="Times New Roman"/>
                <w:kern w:val="0"/>
                <w:sz w:val="22"/>
              </w:rPr>
              <w:t>专任教师</w:t>
            </w:r>
          </w:p>
        </w:tc>
        <w:tc>
          <w:tcPr>
            <w:tcW w:w="5244" w:type="dxa"/>
            <w:shd w:val="clear" w:color="auto" w:fill="auto"/>
            <w:vAlign w:val="center"/>
          </w:tcPr>
          <w:p w14:paraId="5C74B00F">
            <w:pPr>
              <w:widowControl/>
              <w:jc w:val="left"/>
              <w:rPr>
                <w:rFonts w:ascii="Times New Roman" w:hAnsi="Times New Roman" w:eastAsia="宋体" w:cs="Times New Roman"/>
                <w:kern w:val="0"/>
                <w:sz w:val="22"/>
              </w:rPr>
            </w:pPr>
            <w:r>
              <w:rPr>
                <w:rFonts w:hint="eastAsia" w:ascii="宋体" w:hAnsi="宋体" w:eastAsia="宋体" w:cs="Times New Roman"/>
                <w:kern w:val="0"/>
                <w:sz w:val="22"/>
              </w:rPr>
              <w:t>中国语言文学类、新闻传播学类、教育学类、心理学类、数学类、统计学类、公共管理类、管理科学与工程类、哲学类、物理学类、艺术学理论类、音乐与舞蹈学类、戏剧与影视学类、美术学类、设计学类</w:t>
            </w:r>
          </w:p>
        </w:tc>
        <w:tc>
          <w:tcPr>
            <w:tcW w:w="993" w:type="dxa"/>
            <w:shd w:val="clear" w:color="auto" w:fill="auto"/>
            <w:vAlign w:val="center"/>
          </w:tcPr>
          <w:p w14:paraId="45F67496">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2F90B2EA">
            <w:pPr>
              <w:jc w:val="center"/>
              <w:rPr>
                <w:rFonts w:ascii="Times New Roman" w:hAnsi="Times New Roman" w:eastAsia="宋体" w:cs="Times New Roman"/>
                <w:kern w:val="0"/>
                <w:sz w:val="22"/>
              </w:rPr>
            </w:pPr>
          </w:p>
        </w:tc>
      </w:tr>
      <w:tr w14:paraId="37A8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9" w:type="dxa"/>
            <w:shd w:val="clear" w:color="auto" w:fill="auto"/>
            <w:vAlign w:val="center"/>
          </w:tcPr>
          <w:p w14:paraId="10B73D6E">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7</w:t>
            </w:r>
          </w:p>
        </w:tc>
        <w:tc>
          <w:tcPr>
            <w:tcW w:w="2249" w:type="dxa"/>
            <w:shd w:val="clear" w:color="auto" w:fill="auto"/>
            <w:vAlign w:val="center"/>
          </w:tcPr>
          <w:p w14:paraId="7D8EB749">
            <w:pPr>
              <w:widowControl/>
              <w:jc w:val="center"/>
              <w:rPr>
                <w:rFonts w:ascii="宋体" w:hAnsi="宋体" w:eastAsia="宋体" w:cs="Times New Roman"/>
                <w:kern w:val="0"/>
                <w:sz w:val="22"/>
              </w:rPr>
            </w:pPr>
            <w:r>
              <w:rPr>
                <w:rFonts w:hint="eastAsia" w:ascii="宋体" w:hAnsi="宋体" w:eastAsia="宋体" w:cs="Times New Roman"/>
                <w:kern w:val="0"/>
                <w:sz w:val="22"/>
              </w:rPr>
              <w:t>外国语学院</w:t>
            </w:r>
          </w:p>
          <w:p w14:paraId="4C7B16CD">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44" w:type="dxa"/>
            <w:shd w:val="clear" w:color="auto" w:fill="auto"/>
            <w:vAlign w:val="center"/>
          </w:tcPr>
          <w:p w14:paraId="65FB3F99">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外国语言文学类；有外国语言文学背景的（本科或硕士是外语专业或外语能力达到相应水平的）应用经济学类、工商管理类、教育学类、心理学类、中国语言文学类</w:t>
            </w:r>
          </w:p>
        </w:tc>
        <w:tc>
          <w:tcPr>
            <w:tcW w:w="993" w:type="dxa"/>
            <w:shd w:val="clear" w:color="auto" w:fill="auto"/>
            <w:vAlign w:val="center"/>
          </w:tcPr>
          <w:p w14:paraId="46A7B061">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6AD94101">
            <w:pPr>
              <w:jc w:val="center"/>
              <w:rPr>
                <w:rFonts w:ascii="Times New Roman" w:hAnsi="Times New Roman" w:eastAsia="宋体" w:cs="Times New Roman"/>
                <w:kern w:val="0"/>
                <w:sz w:val="22"/>
              </w:rPr>
            </w:pPr>
          </w:p>
        </w:tc>
      </w:tr>
      <w:tr w14:paraId="456B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9" w:type="dxa"/>
            <w:shd w:val="clear" w:color="auto" w:fill="auto"/>
            <w:vAlign w:val="center"/>
          </w:tcPr>
          <w:p w14:paraId="7C2AE1A3">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8</w:t>
            </w:r>
          </w:p>
        </w:tc>
        <w:tc>
          <w:tcPr>
            <w:tcW w:w="2249" w:type="dxa"/>
            <w:shd w:val="clear" w:color="auto" w:fill="auto"/>
            <w:vAlign w:val="center"/>
          </w:tcPr>
          <w:p w14:paraId="53A91A5B">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马克思主义学院专任教师</w:t>
            </w:r>
          </w:p>
        </w:tc>
        <w:tc>
          <w:tcPr>
            <w:tcW w:w="5244" w:type="dxa"/>
            <w:shd w:val="clear" w:color="auto" w:fill="auto"/>
            <w:vAlign w:val="center"/>
          </w:tcPr>
          <w:p w14:paraId="3328C9C5">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哲学类、法学类、政治学类、社会学类、马克思主义理论类、中国史类、世界史类、公共管理类</w:t>
            </w:r>
          </w:p>
        </w:tc>
        <w:tc>
          <w:tcPr>
            <w:tcW w:w="993" w:type="dxa"/>
            <w:shd w:val="clear" w:color="auto" w:fill="auto"/>
            <w:vAlign w:val="center"/>
          </w:tcPr>
          <w:p w14:paraId="1DC0AD73">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74305392">
            <w:pPr>
              <w:jc w:val="center"/>
              <w:rPr>
                <w:rFonts w:ascii="Times New Roman" w:hAnsi="Times New Roman" w:eastAsia="宋体" w:cs="Times New Roman"/>
                <w:kern w:val="0"/>
                <w:sz w:val="22"/>
              </w:rPr>
            </w:pPr>
          </w:p>
        </w:tc>
      </w:tr>
      <w:tr w14:paraId="315B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09" w:type="dxa"/>
            <w:shd w:val="clear" w:color="auto" w:fill="auto"/>
            <w:vAlign w:val="center"/>
          </w:tcPr>
          <w:p w14:paraId="4D1B7C8C">
            <w:pPr>
              <w:widowControl/>
              <w:adjustRightInd w:val="0"/>
              <w:snapToGrid w:val="0"/>
              <w:jc w:val="center"/>
              <w:textAlignment w:val="center"/>
              <w:rPr>
                <w:rFonts w:ascii="仿宋_GB2312" w:hAnsi="仿宋" w:eastAsia="仿宋_GB2312" w:cs="仿宋"/>
                <w:sz w:val="22"/>
              </w:rPr>
            </w:pPr>
            <w:r>
              <w:rPr>
                <w:rFonts w:ascii="仿宋_GB2312" w:hAnsi="仿宋" w:eastAsia="仿宋_GB2312" w:cs="仿宋"/>
                <w:sz w:val="22"/>
              </w:rPr>
              <w:t>9</w:t>
            </w:r>
          </w:p>
        </w:tc>
        <w:tc>
          <w:tcPr>
            <w:tcW w:w="2249" w:type="dxa"/>
            <w:shd w:val="clear" w:color="auto" w:fill="auto"/>
            <w:vAlign w:val="center"/>
          </w:tcPr>
          <w:p w14:paraId="18B05262">
            <w:pPr>
              <w:widowControl/>
              <w:jc w:val="center"/>
              <w:rPr>
                <w:rFonts w:ascii="宋体" w:hAnsi="宋体" w:eastAsia="宋体" w:cs="Times New Roman"/>
                <w:kern w:val="0"/>
                <w:sz w:val="22"/>
              </w:rPr>
            </w:pPr>
            <w:r>
              <w:rPr>
                <w:rFonts w:hint="eastAsia" w:ascii="宋体" w:hAnsi="宋体" w:eastAsia="宋体" w:cs="Times New Roman"/>
                <w:kern w:val="0"/>
                <w:sz w:val="22"/>
              </w:rPr>
              <w:t>体育工作部</w:t>
            </w:r>
          </w:p>
          <w:p w14:paraId="693B450A">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专任教师</w:t>
            </w:r>
          </w:p>
        </w:tc>
        <w:tc>
          <w:tcPr>
            <w:tcW w:w="5244" w:type="dxa"/>
            <w:shd w:val="clear" w:color="auto" w:fill="auto"/>
            <w:vAlign w:val="center"/>
          </w:tcPr>
          <w:p w14:paraId="7635861C">
            <w:pPr>
              <w:widowControl/>
              <w:jc w:val="left"/>
              <w:rPr>
                <w:rFonts w:ascii="Times New Roman" w:hAnsi="Times New Roman" w:eastAsia="宋体" w:cs="Times New Roman"/>
                <w:kern w:val="0"/>
                <w:sz w:val="22"/>
              </w:rPr>
            </w:pPr>
            <w:r>
              <w:rPr>
                <w:rFonts w:hint="eastAsia" w:ascii="宋体" w:hAnsi="宋体" w:eastAsia="宋体" w:cs="Times New Roman"/>
                <w:kern w:val="0"/>
                <w:sz w:val="22"/>
              </w:rPr>
              <w:t>体育学类、教育学类、生物学类、心理学类、社会学类</w:t>
            </w:r>
          </w:p>
        </w:tc>
        <w:tc>
          <w:tcPr>
            <w:tcW w:w="993" w:type="dxa"/>
            <w:shd w:val="clear" w:color="auto" w:fill="auto"/>
            <w:vAlign w:val="center"/>
          </w:tcPr>
          <w:p w14:paraId="41D3346B">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779" w:type="dxa"/>
            <w:vMerge w:val="continue"/>
            <w:shd w:val="clear" w:color="auto" w:fill="auto"/>
            <w:vAlign w:val="center"/>
          </w:tcPr>
          <w:p w14:paraId="1DA7ED3D">
            <w:pPr>
              <w:widowControl/>
              <w:jc w:val="center"/>
              <w:rPr>
                <w:rFonts w:ascii="Times New Roman" w:hAnsi="Times New Roman" w:eastAsia="宋体" w:cs="Times New Roman"/>
                <w:kern w:val="0"/>
                <w:sz w:val="22"/>
              </w:rPr>
            </w:pPr>
          </w:p>
        </w:tc>
      </w:tr>
    </w:tbl>
    <w:p w14:paraId="66FC3683">
      <w:pPr>
        <w:pStyle w:val="5"/>
        <w:overflowPunct w:val="0"/>
        <w:spacing w:line="360" w:lineRule="auto"/>
        <w:ind w:left="126" w:leftChars="60" w:right="442" w:firstLine="482" w:firstLineChars="200"/>
        <w:jc w:val="both"/>
        <w:rPr>
          <w:rFonts w:ascii="仿宋_GB2312" w:eastAsia="仿宋_GB2312"/>
          <w:b/>
        </w:rPr>
      </w:pPr>
      <w:r>
        <w:rPr>
          <w:rFonts w:hint="eastAsia" w:ascii="仿宋_GB2312" w:eastAsia="仿宋_GB2312"/>
          <w:b/>
        </w:rPr>
        <w:t>（三）人才团队</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9"/>
        <w:gridCol w:w="5986"/>
        <w:gridCol w:w="1077"/>
        <w:gridCol w:w="810"/>
      </w:tblGrid>
      <w:tr w14:paraId="3ACF9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801" w:type="dxa"/>
            <w:shd w:val="clear" w:color="auto" w:fill="auto"/>
            <w:vAlign w:val="center"/>
          </w:tcPr>
          <w:p w14:paraId="10D53B95">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岗位名称</w:t>
            </w:r>
          </w:p>
        </w:tc>
        <w:tc>
          <w:tcPr>
            <w:tcW w:w="6032" w:type="dxa"/>
            <w:shd w:val="clear" w:color="auto" w:fill="auto"/>
            <w:vAlign w:val="center"/>
          </w:tcPr>
          <w:p w14:paraId="549F42B9">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专业要求</w:t>
            </w:r>
          </w:p>
        </w:tc>
        <w:tc>
          <w:tcPr>
            <w:tcW w:w="1083" w:type="dxa"/>
            <w:shd w:val="clear" w:color="auto" w:fill="auto"/>
            <w:vAlign w:val="center"/>
          </w:tcPr>
          <w:p w14:paraId="3C5FC791">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学历/学位要求</w:t>
            </w:r>
          </w:p>
        </w:tc>
        <w:tc>
          <w:tcPr>
            <w:tcW w:w="813" w:type="dxa"/>
            <w:shd w:val="clear" w:color="auto" w:fill="auto"/>
            <w:vAlign w:val="center"/>
          </w:tcPr>
          <w:p w14:paraId="49A4DA0E">
            <w:pPr>
              <w:adjustRightInd w:val="0"/>
              <w:snapToGrid w:val="0"/>
              <w:jc w:val="center"/>
              <w:rPr>
                <w:rFonts w:ascii="仿宋_GB2312" w:hAnsi="仿宋" w:eastAsia="仿宋_GB2312" w:cs="仿宋"/>
                <w:b/>
                <w:sz w:val="22"/>
                <w:szCs w:val="20"/>
              </w:rPr>
            </w:pPr>
            <w:r>
              <w:rPr>
                <w:rFonts w:hint="eastAsia" w:ascii="仿宋_GB2312" w:hAnsi="仿宋" w:eastAsia="仿宋_GB2312" w:cs="仿宋"/>
                <w:b/>
                <w:sz w:val="22"/>
                <w:szCs w:val="20"/>
              </w:rPr>
              <w:t>需求团队数</w:t>
            </w:r>
          </w:p>
        </w:tc>
      </w:tr>
      <w:tr w14:paraId="7931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801" w:type="dxa"/>
            <w:shd w:val="clear" w:color="auto" w:fill="auto"/>
            <w:vAlign w:val="center"/>
          </w:tcPr>
          <w:p w14:paraId="21C3223D">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化学与材料工程学院高层次人才团队</w:t>
            </w:r>
          </w:p>
        </w:tc>
        <w:tc>
          <w:tcPr>
            <w:tcW w:w="6032" w:type="dxa"/>
            <w:shd w:val="clear" w:color="auto" w:fill="auto"/>
            <w:vAlign w:val="center"/>
          </w:tcPr>
          <w:p w14:paraId="48548552">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化学类、材料科学与工程类、化学工程与技术类、环境科学与工程类、轻工技术与工程类、农业资源与环境类、安全科学与工程类、物理学类、动力工程及工程热物理类、林业工程类、生物学类（微生物学）</w:t>
            </w:r>
          </w:p>
        </w:tc>
        <w:tc>
          <w:tcPr>
            <w:tcW w:w="1083" w:type="dxa"/>
            <w:shd w:val="clear" w:color="auto" w:fill="auto"/>
            <w:vAlign w:val="center"/>
          </w:tcPr>
          <w:p w14:paraId="4A5D2B0A">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硕士</w:t>
            </w:r>
          </w:p>
        </w:tc>
        <w:tc>
          <w:tcPr>
            <w:tcW w:w="813" w:type="dxa"/>
            <w:shd w:val="clear" w:color="auto" w:fill="auto"/>
            <w:vAlign w:val="center"/>
          </w:tcPr>
          <w:p w14:paraId="1D4F791C">
            <w:pPr>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2</w:t>
            </w:r>
          </w:p>
        </w:tc>
      </w:tr>
      <w:tr w14:paraId="2C7C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801" w:type="dxa"/>
            <w:shd w:val="clear" w:color="auto" w:fill="auto"/>
            <w:vAlign w:val="center"/>
          </w:tcPr>
          <w:p w14:paraId="794E2DD6">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机械工程学院高层次人才团队</w:t>
            </w:r>
          </w:p>
        </w:tc>
        <w:tc>
          <w:tcPr>
            <w:tcW w:w="6032" w:type="dxa"/>
            <w:shd w:val="clear" w:color="auto" w:fill="auto"/>
            <w:vAlign w:val="center"/>
          </w:tcPr>
          <w:p w14:paraId="0D7979C1">
            <w:pPr>
              <w:widowControl/>
              <w:jc w:val="left"/>
              <w:rPr>
                <w:rFonts w:ascii="Times New Roman" w:hAnsi="Times New Roman" w:eastAsia="宋体" w:cs="Times New Roman"/>
                <w:kern w:val="0"/>
                <w:sz w:val="22"/>
              </w:rPr>
            </w:pPr>
            <w:r>
              <w:rPr>
                <w:rFonts w:hint="eastAsia" w:ascii="宋体" w:hAnsi="宋体" w:eastAsia="宋体" w:cs="Times New Roman"/>
                <w:kern w:val="0"/>
                <w:sz w:val="22"/>
              </w:rPr>
              <w:t>物理学类、力学类、机械工程类，光学工程、仪器科学与技术类，材料科学与工程类，冶金工程类、动力工程及工程热物理类，电气工程类，电子科学与技术类，信息与通信工程类，控制科学与工程类，计算机科学与技术类，矿业工程类、交通运输工程类，船舶与海洋工程类，航空宇航科学与技术类，兵器科学与技术类，农业工程类，林业工程类、软件工程类</w:t>
            </w:r>
          </w:p>
        </w:tc>
        <w:tc>
          <w:tcPr>
            <w:tcW w:w="1083" w:type="dxa"/>
            <w:shd w:val="clear" w:color="auto" w:fill="auto"/>
            <w:vAlign w:val="center"/>
          </w:tcPr>
          <w:p w14:paraId="79FA1B9F">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813" w:type="dxa"/>
            <w:shd w:val="clear" w:color="auto" w:fill="auto"/>
            <w:vAlign w:val="center"/>
          </w:tcPr>
          <w:p w14:paraId="2253D4A3">
            <w:pPr>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1</w:t>
            </w:r>
          </w:p>
        </w:tc>
      </w:tr>
      <w:tr w14:paraId="2C48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801" w:type="dxa"/>
            <w:shd w:val="clear" w:color="auto" w:fill="auto"/>
            <w:vAlign w:val="center"/>
          </w:tcPr>
          <w:p w14:paraId="0B88D768">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建筑工程学院高层次人才团队</w:t>
            </w:r>
          </w:p>
        </w:tc>
        <w:tc>
          <w:tcPr>
            <w:tcW w:w="6032" w:type="dxa"/>
            <w:shd w:val="clear" w:color="auto" w:fill="auto"/>
            <w:vAlign w:val="center"/>
          </w:tcPr>
          <w:p w14:paraId="3711B441">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力学类、建筑学类、土木工程类、管理科学与工程类、水利工程类、交通运输工程类、材料科学与工程类、计算机科学与技术类、地质资源与地质工程类、农业工程类、林业工程类</w:t>
            </w:r>
          </w:p>
        </w:tc>
        <w:tc>
          <w:tcPr>
            <w:tcW w:w="1083" w:type="dxa"/>
            <w:shd w:val="clear" w:color="auto" w:fill="auto"/>
            <w:vAlign w:val="center"/>
          </w:tcPr>
          <w:p w14:paraId="2A573CA0">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博士</w:t>
            </w:r>
          </w:p>
        </w:tc>
        <w:tc>
          <w:tcPr>
            <w:tcW w:w="813" w:type="dxa"/>
            <w:shd w:val="clear" w:color="auto" w:fill="auto"/>
            <w:vAlign w:val="center"/>
          </w:tcPr>
          <w:p w14:paraId="00AA5C5B">
            <w:pPr>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1</w:t>
            </w:r>
          </w:p>
        </w:tc>
      </w:tr>
      <w:tr w14:paraId="001A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801" w:type="dxa"/>
            <w:shd w:val="clear" w:color="auto" w:fill="auto"/>
            <w:vAlign w:val="center"/>
          </w:tcPr>
          <w:p w14:paraId="67892979">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电气与信息工程学院高层次人才团队</w:t>
            </w:r>
          </w:p>
        </w:tc>
        <w:tc>
          <w:tcPr>
            <w:tcW w:w="6032" w:type="dxa"/>
            <w:shd w:val="clear" w:color="auto" w:fill="auto"/>
            <w:vAlign w:val="center"/>
          </w:tcPr>
          <w:p w14:paraId="23EA0895">
            <w:pPr>
              <w:widowControl/>
              <w:jc w:val="left"/>
              <w:rPr>
                <w:rFonts w:ascii="Times New Roman" w:hAnsi="Times New Roman" w:eastAsia="宋体" w:cs="Times New Roman"/>
                <w:kern w:val="0"/>
                <w:sz w:val="22"/>
              </w:rPr>
            </w:pPr>
            <w:r>
              <w:rPr>
                <w:rFonts w:hint="eastAsia" w:ascii="宋体" w:hAnsi="宋体" w:eastAsia="宋体" w:cs="Times New Roman"/>
                <w:kern w:val="0"/>
                <w:sz w:val="22"/>
              </w:rPr>
              <w:t>电气工程类、控制科学与工程类、信息与通信工程类、电子科学与技术类、机械工程类、计算机科学与技术类、生物医学工程类、软件工程类、网络空间安全类、数学类、物理学类、统计学类、仪器科学与技术类、管理科学与工程类、光学工程类、核科学与技术类、材料科学与工程类、土木工程类、测绘科学与技术类、地质资源与地质工程类、环境科学与工程类、农业工程类。</w:t>
            </w:r>
          </w:p>
        </w:tc>
        <w:tc>
          <w:tcPr>
            <w:tcW w:w="1083" w:type="dxa"/>
            <w:shd w:val="clear" w:color="auto" w:fill="auto"/>
            <w:vAlign w:val="center"/>
          </w:tcPr>
          <w:p w14:paraId="66F9ADA0">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硕士</w:t>
            </w:r>
          </w:p>
        </w:tc>
        <w:tc>
          <w:tcPr>
            <w:tcW w:w="813" w:type="dxa"/>
            <w:shd w:val="clear" w:color="auto" w:fill="auto"/>
            <w:vAlign w:val="center"/>
          </w:tcPr>
          <w:p w14:paraId="66854599">
            <w:pPr>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2</w:t>
            </w:r>
          </w:p>
        </w:tc>
      </w:tr>
      <w:tr w14:paraId="3577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jc w:val="center"/>
        </w:trPr>
        <w:tc>
          <w:tcPr>
            <w:tcW w:w="1801" w:type="dxa"/>
            <w:shd w:val="clear" w:color="auto" w:fill="auto"/>
            <w:vAlign w:val="center"/>
          </w:tcPr>
          <w:p w14:paraId="48DFB44C">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商学院高层次人才团队</w:t>
            </w:r>
          </w:p>
        </w:tc>
        <w:tc>
          <w:tcPr>
            <w:tcW w:w="6032" w:type="dxa"/>
            <w:shd w:val="clear" w:color="auto" w:fill="auto"/>
            <w:vAlign w:val="center"/>
          </w:tcPr>
          <w:p w14:paraId="33E66929">
            <w:pPr>
              <w:widowControl/>
              <w:jc w:val="left"/>
              <w:rPr>
                <w:rFonts w:ascii="Times New Roman" w:hAnsi="Times New Roman" w:eastAsia="宋体" w:cs="Times New Roman"/>
                <w:kern w:val="0"/>
                <w:sz w:val="22"/>
              </w:rPr>
            </w:pPr>
            <w:r>
              <w:rPr>
                <w:rFonts w:hint="eastAsia" w:ascii="宋体" w:hAnsi="宋体" w:eastAsia="宋体" w:cs="Times New Roman"/>
                <w:kern w:val="0"/>
                <w:sz w:val="22"/>
              </w:rPr>
              <w:t>工商管理类、理论经济学类、应用经济学类、统计学类、法学类、政治学、社会学类、地理学类、管理科学与工程类、农林经济管理类、公共管理类、图书情报与档案管理类、计算机科学与技术类</w:t>
            </w:r>
          </w:p>
        </w:tc>
        <w:tc>
          <w:tcPr>
            <w:tcW w:w="1083" w:type="dxa"/>
            <w:shd w:val="clear" w:color="auto" w:fill="auto"/>
            <w:vAlign w:val="center"/>
          </w:tcPr>
          <w:p w14:paraId="08B25FCF">
            <w:pPr>
              <w:widowControl/>
              <w:jc w:val="center"/>
              <w:rPr>
                <w:rFonts w:ascii="Times New Roman" w:hAnsi="Times New Roman" w:eastAsia="宋体" w:cs="Times New Roman"/>
                <w:kern w:val="0"/>
                <w:sz w:val="22"/>
              </w:rPr>
            </w:pPr>
            <w:r>
              <w:rPr>
                <w:rFonts w:hint="eastAsia" w:ascii="宋体" w:hAnsi="宋体" w:eastAsia="宋体" w:cs="Times New Roman"/>
                <w:kern w:val="0"/>
                <w:sz w:val="22"/>
              </w:rPr>
              <w:t>研究生</w:t>
            </w:r>
            <w:r>
              <w:rPr>
                <w:rFonts w:ascii="Times New Roman" w:hAnsi="Times New Roman" w:eastAsia="宋体" w:cs="Times New Roman"/>
                <w:kern w:val="0"/>
                <w:sz w:val="22"/>
              </w:rPr>
              <w:t>/</w:t>
            </w:r>
            <w:r>
              <w:rPr>
                <w:rFonts w:hint="eastAsia" w:ascii="宋体" w:hAnsi="宋体" w:eastAsia="宋体" w:cs="Times New Roman"/>
                <w:kern w:val="0"/>
                <w:sz w:val="22"/>
              </w:rPr>
              <w:t>硕士</w:t>
            </w:r>
          </w:p>
        </w:tc>
        <w:tc>
          <w:tcPr>
            <w:tcW w:w="813" w:type="dxa"/>
            <w:shd w:val="clear" w:color="auto" w:fill="auto"/>
            <w:vAlign w:val="center"/>
          </w:tcPr>
          <w:p w14:paraId="40BD3DE7">
            <w:pPr>
              <w:widowControl/>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1</w:t>
            </w:r>
          </w:p>
        </w:tc>
      </w:tr>
      <w:tr w14:paraId="45C12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916" w:type="dxa"/>
            <w:gridSpan w:val="3"/>
            <w:shd w:val="clear" w:color="auto" w:fill="auto"/>
            <w:vAlign w:val="center"/>
          </w:tcPr>
          <w:p w14:paraId="0EC41B56">
            <w:pPr>
              <w:widowControl/>
              <w:jc w:val="center"/>
              <w:rPr>
                <w:rFonts w:ascii="宋体" w:hAnsi="宋体" w:eastAsia="宋体" w:cs="Times New Roman"/>
                <w:kern w:val="0"/>
                <w:sz w:val="22"/>
              </w:rPr>
            </w:pPr>
            <w:r>
              <w:rPr>
                <w:rFonts w:hint="eastAsia" w:ascii="宋体" w:hAnsi="宋体" w:eastAsia="宋体" w:cs="Times New Roman"/>
                <w:kern w:val="0"/>
                <w:sz w:val="22"/>
              </w:rPr>
              <w:t>合计</w:t>
            </w:r>
          </w:p>
        </w:tc>
        <w:tc>
          <w:tcPr>
            <w:tcW w:w="813" w:type="dxa"/>
            <w:shd w:val="clear" w:color="auto" w:fill="auto"/>
            <w:vAlign w:val="center"/>
          </w:tcPr>
          <w:p w14:paraId="796C0CD9">
            <w:pPr>
              <w:widowControl/>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7</w:t>
            </w:r>
          </w:p>
        </w:tc>
      </w:tr>
    </w:tbl>
    <w:p w14:paraId="5B5C05A2">
      <w:pPr>
        <w:pStyle w:val="5"/>
        <w:overflowPunct w:val="0"/>
        <w:spacing w:line="360" w:lineRule="auto"/>
        <w:ind w:left="0" w:right="111" w:firstLine="472" w:firstLineChars="196"/>
        <w:rPr>
          <w:rFonts w:ascii="Times New Roman" w:eastAsia="仿宋_GB2312" w:cs="Times New Roman"/>
          <w:b/>
          <w:bCs/>
          <w:color w:val="000000" w:themeColor="text1"/>
          <w14:textFill>
            <w14:solidFill>
              <w14:schemeClr w14:val="tx1"/>
            </w14:solidFill>
          </w14:textFill>
        </w:rPr>
      </w:pPr>
      <w:r>
        <w:rPr>
          <w:rFonts w:ascii="Times New Roman" w:eastAsia="仿宋_GB2312" w:cs="Times New Roman"/>
          <w:b/>
          <w:bCs/>
          <w:color w:val="000000" w:themeColor="text1"/>
          <w14:textFill>
            <w14:solidFill>
              <w14:schemeClr w14:val="tx1"/>
            </w14:solidFill>
          </w14:textFill>
        </w:rPr>
        <w:t>（四）硕士研究生</w:t>
      </w:r>
    </w:p>
    <w:tbl>
      <w:tblPr>
        <w:tblStyle w:val="11"/>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818"/>
        <w:gridCol w:w="4722"/>
        <w:gridCol w:w="775"/>
        <w:gridCol w:w="1131"/>
        <w:gridCol w:w="898"/>
      </w:tblGrid>
      <w:tr w14:paraId="56F40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10" w:type="dxa"/>
            <w:vAlign w:val="center"/>
          </w:tcPr>
          <w:p w14:paraId="6DEE43DE">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序号</w:t>
            </w:r>
          </w:p>
        </w:tc>
        <w:tc>
          <w:tcPr>
            <w:tcW w:w="1818" w:type="dxa"/>
            <w:vAlign w:val="center"/>
          </w:tcPr>
          <w:p w14:paraId="1406118C">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岗位名称</w:t>
            </w:r>
          </w:p>
        </w:tc>
        <w:tc>
          <w:tcPr>
            <w:tcW w:w="4722" w:type="dxa"/>
            <w:vAlign w:val="center"/>
          </w:tcPr>
          <w:p w14:paraId="39678DE0">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专业要求</w:t>
            </w:r>
          </w:p>
        </w:tc>
        <w:tc>
          <w:tcPr>
            <w:tcW w:w="775" w:type="dxa"/>
            <w:vAlign w:val="center"/>
          </w:tcPr>
          <w:p w14:paraId="20F83C2C">
            <w:pPr>
              <w:adjustRightInd w:val="0"/>
              <w:snapToGrid w:val="0"/>
              <w:spacing w:line="240" w:lineRule="exact"/>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需求</w:t>
            </w:r>
          </w:p>
          <w:p w14:paraId="07758646">
            <w:pPr>
              <w:adjustRightInd w:val="0"/>
              <w:snapToGrid w:val="0"/>
              <w:spacing w:line="240" w:lineRule="exact"/>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人数</w:t>
            </w:r>
          </w:p>
        </w:tc>
        <w:tc>
          <w:tcPr>
            <w:tcW w:w="1131" w:type="dxa"/>
            <w:vAlign w:val="center"/>
          </w:tcPr>
          <w:p w14:paraId="63EB7B81">
            <w:pPr>
              <w:adjustRightInd w:val="0"/>
              <w:snapToGrid w:val="0"/>
              <w:spacing w:line="240" w:lineRule="exact"/>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学历、学位要求</w:t>
            </w:r>
          </w:p>
        </w:tc>
        <w:tc>
          <w:tcPr>
            <w:tcW w:w="898" w:type="dxa"/>
            <w:vAlign w:val="center"/>
          </w:tcPr>
          <w:p w14:paraId="789DAC7A">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备注</w:t>
            </w:r>
          </w:p>
        </w:tc>
      </w:tr>
      <w:tr w14:paraId="32A8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10" w:type="dxa"/>
            <w:vAlign w:val="center"/>
          </w:tcPr>
          <w:p w14:paraId="754909AE">
            <w:pPr>
              <w:widowControl/>
              <w:jc w:val="center"/>
              <w:rPr>
                <w:rFonts w:ascii="Times New Roman" w:hAnsi="Times New Roman" w:eastAsia="宋体" w:cs="Times New Roman"/>
                <w:sz w:val="22"/>
              </w:rPr>
            </w:pPr>
            <w:r>
              <w:rPr>
                <w:rFonts w:ascii="Times New Roman" w:hAnsi="Times New Roman" w:eastAsia="宋体" w:cs="Times New Roman"/>
                <w:sz w:val="22"/>
              </w:rPr>
              <w:t>1</w:t>
            </w:r>
          </w:p>
        </w:tc>
        <w:tc>
          <w:tcPr>
            <w:tcW w:w="1818" w:type="dxa"/>
            <w:vAlign w:val="center"/>
          </w:tcPr>
          <w:p w14:paraId="4FA14A0F">
            <w:pPr>
              <w:widowControl/>
              <w:jc w:val="center"/>
              <w:rPr>
                <w:rFonts w:ascii="Times New Roman" w:hAnsi="Times New Roman" w:eastAsia="宋体" w:cs="Times New Roman"/>
                <w:sz w:val="22"/>
              </w:rPr>
            </w:pPr>
            <w:r>
              <w:rPr>
                <w:rFonts w:ascii="Times New Roman" w:hAnsi="宋体" w:eastAsia="宋体" w:cs="Times New Roman"/>
                <w:sz w:val="22"/>
              </w:rPr>
              <w:t>教师教育学院</w:t>
            </w:r>
            <w:r>
              <w:rPr>
                <w:rFonts w:ascii="Times New Roman" w:hAnsi="Times New Roman" w:eastAsia="宋体" w:cs="Times New Roman"/>
                <w:sz w:val="22"/>
              </w:rPr>
              <w:br w:type="textWrapping"/>
            </w:r>
            <w:r>
              <w:rPr>
                <w:rFonts w:ascii="Times New Roman" w:hAnsi="宋体" w:eastAsia="宋体" w:cs="Times New Roman"/>
                <w:sz w:val="22"/>
              </w:rPr>
              <w:t>专任教师</w:t>
            </w:r>
          </w:p>
        </w:tc>
        <w:tc>
          <w:tcPr>
            <w:tcW w:w="4722" w:type="dxa"/>
            <w:vAlign w:val="center"/>
          </w:tcPr>
          <w:p w14:paraId="75DF2F11">
            <w:pPr>
              <w:widowControl/>
              <w:jc w:val="left"/>
              <w:rPr>
                <w:rFonts w:ascii="Times New Roman" w:hAnsi="Times New Roman" w:eastAsia="宋体" w:cs="Times New Roman"/>
                <w:sz w:val="22"/>
              </w:rPr>
            </w:pPr>
            <w:r>
              <w:rPr>
                <w:rFonts w:ascii="Times New Roman" w:hAnsi="宋体" w:eastAsia="宋体" w:cs="Times New Roman"/>
                <w:sz w:val="22"/>
              </w:rPr>
              <w:t>数学类、统计学类</w:t>
            </w:r>
          </w:p>
        </w:tc>
        <w:tc>
          <w:tcPr>
            <w:tcW w:w="775" w:type="dxa"/>
            <w:vAlign w:val="center"/>
          </w:tcPr>
          <w:p w14:paraId="62F2E3AB">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hint="eastAsia" w:ascii="Times New Roman" w:hAnsi="Times New Roman" w:eastAsia="仿宋_GB2312" w:cs="Times New Roman"/>
                <w:color w:val="000000" w:themeColor="text1"/>
                <w:sz w:val="22"/>
                <w14:textFill>
                  <w14:solidFill>
                    <w14:schemeClr w14:val="tx1"/>
                  </w14:solidFill>
                </w14:textFill>
              </w:rPr>
              <w:t>2</w:t>
            </w:r>
          </w:p>
        </w:tc>
        <w:tc>
          <w:tcPr>
            <w:tcW w:w="1131" w:type="dxa"/>
            <w:vAlign w:val="center"/>
          </w:tcPr>
          <w:p w14:paraId="172C6EC9">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ascii="Times New Roman" w:hAnsi="Times New Roman" w:eastAsia="仿宋_GB2312" w:cs="Times New Roman"/>
                <w:color w:val="000000" w:themeColor="text1"/>
                <w:sz w:val="22"/>
                <w14:textFill>
                  <w14:solidFill>
                    <w14:schemeClr w14:val="tx1"/>
                  </w14:solidFill>
                </w14:textFill>
              </w:rPr>
              <w:t>研究生/硕士</w:t>
            </w:r>
          </w:p>
        </w:tc>
        <w:tc>
          <w:tcPr>
            <w:tcW w:w="898" w:type="dxa"/>
            <w:vAlign w:val="center"/>
          </w:tcPr>
          <w:p w14:paraId="68753FBB">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p>
        </w:tc>
      </w:tr>
      <w:tr w14:paraId="1A2C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0" w:type="dxa"/>
            <w:vAlign w:val="center"/>
          </w:tcPr>
          <w:p w14:paraId="6B42443F">
            <w:pPr>
              <w:widowControl/>
              <w:jc w:val="center"/>
              <w:rPr>
                <w:rFonts w:ascii="Times New Roman" w:hAnsi="Times New Roman" w:eastAsia="宋体" w:cs="Times New Roman"/>
                <w:sz w:val="22"/>
              </w:rPr>
            </w:pPr>
            <w:r>
              <w:rPr>
                <w:rFonts w:hint="eastAsia" w:ascii="Times New Roman" w:hAnsi="Times New Roman" w:eastAsia="宋体" w:cs="Times New Roman"/>
                <w:sz w:val="22"/>
              </w:rPr>
              <w:t>2</w:t>
            </w:r>
          </w:p>
        </w:tc>
        <w:tc>
          <w:tcPr>
            <w:tcW w:w="1818" w:type="dxa"/>
            <w:vAlign w:val="center"/>
          </w:tcPr>
          <w:p w14:paraId="55998035">
            <w:pPr>
              <w:widowControl/>
              <w:jc w:val="center"/>
              <w:rPr>
                <w:rFonts w:ascii="Times New Roman" w:hAnsi="Times New Roman" w:eastAsia="宋体" w:cs="Times New Roman"/>
                <w:color w:val="000000"/>
                <w:sz w:val="22"/>
              </w:rPr>
            </w:pPr>
            <w:r>
              <w:rPr>
                <w:rFonts w:ascii="Times New Roman" w:hAnsi="宋体" w:eastAsia="宋体" w:cs="Times New Roman"/>
                <w:color w:val="000000"/>
                <w:sz w:val="22"/>
              </w:rPr>
              <w:t>外国语学院</w:t>
            </w:r>
          </w:p>
          <w:p w14:paraId="4A32CCFC">
            <w:pPr>
              <w:widowControl/>
              <w:jc w:val="center"/>
              <w:rPr>
                <w:rFonts w:ascii="Times New Roman" w:hAnsi="Times New Roman" w:eastAsia="宋体" w:cs="Times New Roman"/>
                <w:color w:val="000000"/>
                <w:sz w:val="22"/>
              </w:rPr>
            </w:pPr>
            <w:r>
              <w:rPr>
                <w:rFonts w:ascii="Times New Roman" w:hAnsi="宋体" w:eastAsia="宋体" w:cs="Times New Roman"/>
                <w:color w:val="000000"/>
                <w:sz w:val="22"/>
              </w:rPr>
              <w:t>专任教师</w:t>
            </w:r>
          </w:p>
        </w:tc>
        <w:tc>
          <w:tcPr>
            <w:tcW w:w="4722" w:type="dxa"/>
            <w:vAlign w:val="center"/>
          </w:tcPr>
          <w:p w14:paraId="6D4F4074">
            <w:pPr>
              <w:widowControl/>
              <w:jc w:val="left"/>
              <w:rPr>
                <w:rFonts w:ascii="Times New Roman" w:hAnsi="Times New Roman" w:eastAsia="宋体" w:cs="Times New Roman"/>
                <w:sz w:val="22"/>
              </w:rPr>
            </w:pPr>
            <w:r>
              <w:rPr>
                <w:rFonts w:ascii="Times New Roman" w:hAnsi="宋体" w:eastAsia="宋体" w:cs="Times New Roman"/>
                <w:sz w:val="22"/>
              </w:rPr>
              <w:t>外国语言文学类</w:t>
            </w:r>
          </w:p>
        </w:tc>
        <w:tc>
          <w:tcPr>
            <w:tcW w:w="775" w:type="dxa"/>
            <w:vAlign w:val="center"/>
          </w:tcPr>
          <w:p w14:paraId="7A318646">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hint="eastAsia" w:ascii="Times New Roman" w:hAnsi="Times New Roman" w:eastAsia="仿宋_GB2312" w:cs="Times New Roman"/>
                <w:color w:val="000000" w:themeColor="text1"/>
                <w:sz w:val="22"/>
                <w14:textFill>
                  <w14:solidFill>
                    <w14:schemeClr w14:val="tx1"/>
                  </w14:solidFill>
                </w14:textFill>
              </w:rPr>
              <w:t>1</w:t>
            </w:r>
          </w:p>
        </w:tc>
        <w:tc>
          <w:tcPr>
            <w:tcW w:w="1131" w:type="dxa"/>
            <w:vAlign w:val="center"/>
          </w:tcPr>
          <w:p w14:paraId="2136B4F5">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ascii="Times New Roman" w:hAnsi="Times New Roman" w:eastAsia="仿宋_GB2312" w:cs="Times New Roman"/>
                <w:color w:val="000000" w:themeColor="text1"/>
                <w:sz w:val="22"/>
                <w14:textFill>
                  <w14:solidFill>
                    <w14:schemeClr w14:val="tx1"/>
                  </w14:solidFill>
                </w14:textFill>
              </w:rPr>
              <w:t>研究生/硕士</w:t>
            </w:r>
          </w:p>
        </w:tc>
        <w:tc>
          <w:tcPr>
            <w:tcW w:w="898" w:type="dxa"/>
            <w:vAlign w:val="center"/>
          </w:tcPr>
          <w:p w14:paraId="6DEB3973">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p>
        </w:tc>
      </w:tr>
      <w:tr w14:paraId="1C35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10" w:type="dxa"/>
            <w:vAlign w:val="center"/>
          </w:tcPr>
          <w:p w14:paraId="44B438A6">
            <w:pPr>
              <w:widowControl/>
              <w:ind w:left="2520" w:hanging="2520"/>
              <w:jc w:val="center"/>
              <w:rPr>
                <w:rFonts w:ascii="Times New Roman" w:hAnsi="Times New Roman" w:eastAsia="宋体" w:cs="Times New Roman"/>
                <w:sz w:val="22"/>
              </w:rPr>
            </w:pPr>
            <w:r>
              <w:rPr>
                <w:rFonts w:hint="eastAsia" w:ascii="Times New Roman" w:hAnsi="Times New Roman" w:eastAsia="宋体" w:cs="Times New Roman"/>
                <w:sz w:val="22"/>
              </w:rPr>
              <w:t>3</w:t>
            </w:r>
          </w:p>
        </w:tc>
        <w:tc>
          <w:tcPr>
            <w:tcW w:w="1818" w:type="dxa"/>
            <w:vAlign w:val="center"/>
          </w:tcPr>
          <w:p w14:paraId="589D828A">
            <w:pPr>
              <w:widowControl/>
              <w:jc w:val="center"/>
              <w:rPr>
                <w:rFonts w:ascii="Times New Roman" w:hAnsi="Times New Roman" w:eastAsia="宋体" w:cs="Times New Roman"/>
                <w:color w:val="000000"/>
                <w:sz w:val="22"/>
              </w:rPr>
            </w:pPr>
            <w:r>
              <w:rPr>
                <w:rFonts w:ascii="Times New Roman" w:hAnsi="宋体" w:eastAsia="宋体" w:cs="Times New Roman"/>
                <w:color w:val="000000"/>
                <w:sz w:val="22"/>
              </w:rPr>
              <w:t>外国语学院</w:t>
            </w:r>
          </w:p>
          <w:p w14:paraId="63AC26BE">
            <w:pPr>
              <w:widowControl/>
              <w:jc w:val="center"/>
              <w:rPr>
                <w:rFonts w:ascii="Times New Roman" w:hAnsi="宋体" w:eastAsia="宋体" w:cs="Times New Roman"/>
                <w:color w:val="000000"/>
                <w:sz w:val="22"/>
              </w:rPr>
            </w:pPr>
            <w:r>
              <w:rPr>
                <w:rFonts w:ascii="Times New Roman" w:hAnsi="宋体" w:eastAsia="宋体" w:cs="Times New Roman"/>
                <w:color w:val="000000"/>
                <w:sz w:val="22"/>
              </w:rPr>
              <w:t>专任教师</w:t>
            </w:r>
          </w:p>
        </w:tc>
        <w:tc>
          <w:tcPr>
            <w:tcW w:w="4722" w:type="dxa"/>
            <w:vAlign w:val="center"/>
          </w:tcPr>
          <w:p w14:paraId="3B4A53F4">
            <w:pPr>
              <w:widowControl/>
              <w:ind w:left="1680" w:hanging="1680"/>
              <w:jc w:val="left"/>
              <w:rPr>
                <w:rFonts w:ascii="Times New Roman" w:hAnsi="宋体" w:eastAsia="宋体" w:cs="Times New Roman"/>
                <w:sz w:val="22"/>
              </w:rPr>
            </w:pPr>
            <w:r>
              <w:rPr>
                <w:rFonts w:ascii="Times New Roman" w:hAnsi="宋体" w:eastAsia="宋体" w:cs="Times New Roman"/>
                <w:sz w:val="22"/>
              </w:rPr>
              <w:t>有外国语言文学学科背景的（本科是外语专业</w:t>
            </w:r>
          </w:p>
          <w:p w14:paraId="63888A28">
            <w:pPr>
              <w:widowControl/>
              <w:ind w:left="1680" w:hanging="1680"/>
              <w:jc w:val="left"/>
              <w:rPr>
                <w:rFonts w:ascii="Times New Roman" w:hAnsi="宋体" w:eastAsia="宋体" w:cs="Times New Roman"/>
                <w:sz w:val="22"/>
              </w:rPr>
            </w:pPr>
            <w:r>
              <w:rPr>
                <w:rFonts w:ascii="Times New Roman" w:hAnsi="宋体" w:eastAsia="宋体" w:cs="Times New Roman"/>
                <w:sz w:val="22"/>
              </w:rPr>
              <w:t>或外语能力达到相应水平的）应用经济学类、</w:t>
            </w:r>
          </w:p>
          <w:p w14:paraId="157D05C7">
            <w:pPr>
              <w:widowControl/>
              <w:ind w:left="1680" w:hanging="1680"/>
              <w:jc w:val="left"/>
              <w:rPr>
                <w:rFonts w:ascii="Times New Roman" w:hAnsi="宋体" w:eastAsia="宋体" w:cs="Times New Roman"/>
                <w:sz w:val="22"/>
              </w:rPr>
            </w:pPr>
            <w:r>
              <w:rPr>
                <w:rFonts w:ascii="Times New Roman" w:hAnsi="宋体" w:eastAsia="宋体" w:cs="Times New Roman"/>
                <w:sz w:val="22"/>
              </w:rPr>
              <w:t>工商管理类</w:t>
            </w:r>
          </w:p>
        </w:tc>
        <w:tc>
          <w:tcPr>
            <w:tcW w:w="775" w:type="dxa"/>
            <w:vAlign w:val="center"/>
          </w:tcPr>
          <w:p w14:paraId="34C77600">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hint="eastAsia" w:ascii="Times New Roman" w:hAnsi="Times New Roman" w:eastAsia="仿宋_GB2312" w:cs="Times New Roman"/>
                <w:color w:val="000000" w:themeColor="text1"/>
                <w:sz w:val="22"/>
                <w14:textFill>
                  <w14:solidFill>
                    <w14:schemeClr w14:val="tx1"/>
                  </w14:solidFill>
                </w14:textFill>
              </w:rPr>
              <w:t>1</w:t>
            </w:r>
          </w:p>
        </w:tc>
        <w:tc>
          <w:tcPr>
            <w:tcW w:w="1131" w:type="dxa"/>
            <w:vAlign w:val="center"/>
          </w:tcPr>
          <w:p w14:paraId="02F9B2C0">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ascii="Times New Roman" w:hAnsi="Times New Roman" w:eastAsia="仿宋_GB2312" w:cs="Times New Roman"/>
                <w:color w:val="000000" w:themeColor="text1"/>
                <w:sz w:val="22"/>
                <w14:textFill>
                  <w14:solidFill>
                    <w14:schemeClr w14:val="tx1"/>
                  </w14:solidFill>
                </w14:textFill>
              </w:rPr>
              <w:t>研究生/硕士</w:t>
            </w:r>
          </w:p>
        </w:tc>
        <w:tc>
          <w:tcPr>
            <w:tcW w:w="898" w:type="dxa"/>
            <w:vAlign w:val="center"/>
          </w:tcPr>
          <w:p w14:paraId="236EEBA0">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p>
        </w:tc>
      </w:tr>
      <w:tr w14:paraId="4F0D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250" w:type="dxa"/>
            <w:gridSpan w:val="3"/>
            <w:vAlign w:val="center"/>
          </w:tcPr>
          <w:p w14:paraId="30A4117F">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ascii="Times New Roman" w:hAnsi="Times New Roman" w:eastAsia="仿宋_GB2312" w:cs="Times New Roman"/>
                <w:color w:val="000000" w:themeColor="text1"/>
                <w:sz w:val="22"/>
                <w14:textFill>
                  <w14:solidFill>
                    <w14:schemeClr w14:val="tx1"/>
                  </w14:solidFill>
                </w14:textFill>
              </w:rPr>
              <w:t>合计</w:t>
            </w:r>
          </w:p>
        </w:tc>
        <w:tc>
          <w:tcPr>
            <w:tcW w:w="775" w:type="dxa"/>
            <w:vAlign w:val="center"/>
          </w:tcPr>
          <w:p w14:paraId="52E42194">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r>
              <w:rPr>
                <w:rFonts w:ascii="Times New Roman" w:hAnsi="Times New Roman" w:eastAsia="仿宋_GB2312" w:cs="Times New Roman"/>
                <w:color w:val="000000" w:themeColor="text1"/>
                <w:sz w:val="22"/>
                <w14:textFill>
                  <w14:solidFill>
                    <w14:schemeClr w14:val="tx1"/>
                  </w14:solidFill>
                </w14:textFill>
              </w:rPr>
              <w:t>4</w:t>
            </w:r>
          </w:p>
        </w:tc>
        <w:tc>
          <w:tcPr>
            <w:tcW w:w="1131" w:type="dxa"/>
          </w:tcPr>
          <w:p w14:paraId="00F8257B">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p>
        </w:tc>
        <w:tc>
          <w:tcPr>
            <w:tcW w:w="898" w:type="dxa"/>
            <w:vAlign w:val="center"/>
          </w:tcPr>
          <w:p w14:paraId="55A42B17">
            <w:pPr>
              <w:widowControl/>
              <w:adjustRightInd w:val="0"/>
              <w:snapToGrid w:val="0"/>
              <w:jc w:val="center"/>
              <w:textAlignment w:val="center"/>
              <w:rPr>
                <w:rFonts w:ascii="Times New Roman" w:hAnsi="Times New Roman" w:eastAsia="仿宋_GB2312" w:cs="Times New Roman"/>
                <w:color w:val="000000" w:themeColor="text1"/>
                <w:sz w:val="22"/>
                <w14:textFill>
                  <w14:solidFill>
                    <w14:schemeClr w14:val="tx1"/>
                  </w14:solidFill>
                </w14:textFill>
              </w:rPr>
            </w:pPr>
          </w:p>
        </w:tc>
      </w:tr>
    </w:tbl>
    <w:tbl>
      <w:tblPr>
        <w:tblStyle w:val="10"/>
        <w:tblW w:w="10153" w:type="dxa"/>
        <w:jc w:val="center"/>
        <w:tblLayout w:type="autofit"/>
        <w:tblCellMar>
          <w:top w:w="0" w:type="dxa"/>
          <w:left w:w="108" w:type="dxa"/>
          <w:bottom w:w="0" w:type="dxa"/>
          <w:right w:w="108" w:type="dxa"/>
        </w:tblCellMar>
      </w:tblPr>
      <w:tblGrid>
        <w:gridCol w:w="757"/>
        <w:gridCol w:w="1582"/>
        <w:gridCol w:w="1536"/>
        <w:gridCol w:w="1441"/>
        <w:gridCol w:w="809"/>
        <w:gridCol w:w="4028"/>
      </w:tblGrid>
      <w:tr w14:paraId="71312FBB">
        <w:tblPrEx>
          <w:tblCellMar>
            <w:top w:w="0" w:type="dxa"/>
            <w:left w:w="108" w:type="dxa"/>
            <w:bottom w:w="0" w:type="dxa"/>
            <w:right w:w="108" w:type="dxa"/>
          </w:tblCellMar>
        </w:tblPrEx>
        <w:trPr>
          <w:trHeight w:val="600" w:hRule="atLeast"/>
          <w:jc w:val="center"/>
        </w:trPr>
        <w:tc>
          <w:tcPr>
            <w:tcW w:w="10153" w:type="dxa"/>
            <w:gridSpan w:val="6"/>
            <w:tcBorders>
              <w:top w:val="nil"/>
              <w:left w:val="nil"/>
              <w:bottom w:val="single" w:color="auto" w:sz="4" w:space="0"/>
              <w:right w:val="nil"/>
            </w:tcBorders>
            <w:shd w:val="clear" w:color="auto" w:fill="auto"/>
            <w:noWrap/>
            <w:vAlign w:val="center"/>
          </w:tcPr>
          <w:p w14:paraId="143F0284">
            <w:pPr>
              <w:pStyle w:val="5"/>
              <w:overflowPunct w:val="0"/>
              <w:spacing w:line="360" w:lineRule="auto"/>
              <w:ind w:left="126" w:leftChars="60" w:right="111" w:firstLine="472" w:firstLineChars="196"/>
              <w:rPr>
                <w:rFonts w:ascii="Times New Roman" w:eastAsia="宋体" w:cs="Times New Roman"/>
                <w:b/>
                <w:bCs/>
                <w:sz w:val="28"/>
                <w:szCs w:val="28"/>
              </w:rPr>
            </w:pPr>
            <w:r>
              <w:rPr>
                <w:rFonts w:ascii="Times New Roman" w:eastAsia="仿宋_GB2312" w:cs="Times New Roman"/>
                <w:b/>
                <w:bCs/>
                <w:color w:val="000000" w:themeColor="text1"/>
                <w14:textFill>
                  <w14:solidFill>
                    <w14:schemeClr w14:val="tx1"/>
                  </w14:solidFill>
                </w14:textFill>
              </w:rPr>
              <w:t>（五）优秀运动员</w:t>
            </w:r>
          </w:p>
        </w:tc>
      </w:tr>
      <w:tr w14:paraId="1C37C184">
        <w:tblPrEx>
          <w:tblCellMar>
            <w:top w:w="0" w:type="dxa"/>
            <w:left w:w="108" w:type="dxa"/>
            <w:bottom w:w="0" w:type="dxa"/>
            <w:right w:w="108" w:type="dxa"/>
          </w:tblCellMar>
        </w:tblPrEx>
        <w:trPr>
          <w:trHeight w:val="600" w:hRule="atLeast"/>
          <w:jc w:val="center"/>
        </w:trPr>
        <w:tc>
          <w:tcPr>
            <w:tcW w:w="757" w:type="dxa"/>
            <w:tcBorders>
              <w:top w:val="nil"/>
              <w:left w:val="single" w:color="auto" w:sz="4" w:space="0"/>
              <w:bottom w:val="single" w:color="auto" w:sz="4" w:space="0"/>
              <w:right w:val="single" w:color="auto" w:sz="4" w:space="0"/>
            </w:tcBorders>
            <w:shd w:val="clear" w:color="auto" w:fill="auto"/>
            <w:vAlign w:val="center"/>
          </w:tcPr>
          <w:p w14:paraId="4C3A61F1">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序号</w:t>
            </w:r>
          </w:p>
        </w:tc>
        <w:tc>
          <w:tcPr>
            <w:tcW w:w="1582" w:type="dxa"/>
            <w:tcBorders>
              <w:top w:val="nil"/>
              <w:left w:val="nil"/>
              <w:bottom w:val="single" w:color="auto" w:sz="4" w:space="0"/>
              <w:right w:val="single" w:color="auto" w:sz="4" w:space="0"/>
            </w:tcBorders>
            <w:shd w:val="clear" w:color="auto" w:fill="auto"/>
            <w:vAlign w:val="center"/>
          </w:tcPr>
          <w:p w14:paraId="0542BE3A">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岗位名称</w:t>
            </w:r>
          </w:p>
        </w:tc>
        <w:tc>
          <w:tcPr>
            <w:tcW w:w="1536" w:type="dxa"/>
            <w:tcBorders>
              <w:top w:val="nil"/>
              <w:left w:val="nil"/>
              <w:bottom w:val="single" w:color="auto" w:sz="4" w:space="0"/>
              <w:right w:val="single" w:color="auto" w:sz="4" w:space="0"/>
            </w:tcBorders>
            <w:shd w:val="clear" w:color="auto" w:fill="auto"/>
            <w:vAlign w:val="center"/>
          </w:tcPr>
          <w:p w14:paraId="7C87B4C1">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专业要求</w:t>
            </w:r>
          </w:p>
        </w:tc>
        <w:tc>
          <w:tcPr>
            <w:tcW w:w="1441" w:type="dxa"/>
            <w:tcBorders>
              <w:top w:val="nil"/>
              <w:left w:val="nil"/>
              <w:bottom w:val="single" w:color="auto" w:sz="4" w:space="0"/>
              <w:right w:val="single" w:color="auto" w:sz="4" w:space="0"/>
            </w:tcBorders>
            <w:shd w:val="clear" w:color="auto" w:fill="auto"/>
            <w:vAlign w:val="center"/>
          </w:tcPr>
          <w:p w14:paraId="191849E6">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学历/学位要求</w:t>
            </w:r>
          </w:p>
        </w:tc>
        <w:tc>
          <w:tcPr>
            <w:tcW w:w="809" w:type="dxa"/>
            <w:tcBorders>
              <w:top w:val="nil"/>
              <w:left w:val="nil"/>
              <w:bottom w:val="single" w:color="auto" w:sz="4" w:space="0"/>
              <w:right w:val="single" w:color="auto" w:sz="4" w:space="0"/>
            </w:tcBorders>
            <w:shd w:val="clear" w:color="auto" w:fill="auto"/>
            <w:vAlign w:val="center"/>
          </w:tcPr>
          <w:p w14:paraId="394D5E80">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需求人数</w:t>
            </w:r>
          </w:p>
        </w:tc>
        <w:tc>
          <w:tcPr>
            <w:tcW w:w="4028" w:type="dxa"/>
            <w:tcBorders>
              <w:top w:val="nil"/>
              <w:left w:val="nil"/>
              <w:bottom w:val="single" w:color="auto" w:sz="4" w:space="0"/>
              <w:right w:val="single" w:color="auto" w:sz="4" w:space="0"/>
            </w:tcBorders>
            <w:shd w:val="clear" w:color="auto" w:fill="auto"/>
            <w:vAlign w:val="center"/>
          </w:tcPr>
          <w:p w14:paraId="19A3A668">
            <w:pPr>
              <w:adjustRightInd w:val="0"/>
              <w:snapToGrid w:val="0"/>
              <w:jc w:val="center"/>
              <w:rPr>
                <w:rFonts w:ascii="Times New Roman" w:hAnsi="Times New Roman" w:eastAsia="仿宋_GB2312" w:cs="Times New Roman"/>
                <w:b/>
                <w:color w:val="000000" w:themeColor="text1"/>
                <w:sz w:val="22"/>
                <w14:textFill>
                  <w14:solidFill>
                    <w14:schemeClr w14:val="tx1"/>
                  </w14:solidFill>
                </w14:textFill>
              </w:rPr>
            </w:pPr>
            <w:r>
              <w:rPr>
                <w:rFonts w:ascii="Times New Roman" w:hAnsi="Times New Roman" w:eastAsia="仿宋_GB2312" w:cs="Times New Roman"/>
                <w:b/>
                <w:color w:val="000000" w:themeColor="text1"/>
                <w:sz w:val="22"/>
                <w14:textFill>
                  <w14:solidFill>
                    <w14:schemeClr w14:val="tx1"/>
                  </w14:solidFill>
                </w14:textFill>
              </w:rPr>
              <w:t>备注</w:t>
            </w:r>
          </w:p>
        </w:tc>
      </w:tr>
      <w:tr w14:paraId="4EE2CE40">
        <w:tblPrEx>
          <w:tblCellMar>
            <w:top w:w="0" w:type="dxa"/>
            <w:left w:w="108" w:type="dxa"/>
            <w:bottom w:w="0" w:type="dxa"/>
            <w:right w:w="108" w:type="dxa"/>
          </w:tblCellMar>
        </w:tblPrEx>
        <w:trPr>
          <w:trHeight w:val="936" w:hRule="atLeast"/>
          <w:jc w:val="center"/>
        </w:trPr>
        <w:tc>
          <w:tcPr>
            <w:tcW w:w="757" w:type="dxa"/>
            <w:tcBorders>
              <w:top w:val="nil"/>
              <w:left w:val="single" w:color="auto" w:sz="4" w:space="0"/>
              <w:bottom w:val="single" w:color="auto" w:sz="4" w:space="0"/>
              <w:right w:val="single" w:color="auto" w:sz="4" w:space="0"/>
            </w:tcBorders>
            <w:shd w:val="clear" w:color="auto" w:fill="auto"/>
            <w:vAlign w:val="center"/>
          </w:tcPr>
          <w:p w14:paraId="3A735AE9">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1</w:t>
            </w:r>
          </w:p>
        </w:tc>
        <w:tc>
          <w:tcPr>
            <w:tcW w:w="1582" w:type="dxa"/>
            <w:tcBorders>
              <w:top w:val="nil"/>
              <w:left w:val="nil"/>
              <w:bottom w:val="single" w:color="auto" w:sz="4" w:space="0"/>
              <w:right w:val="single" w:color="auto" w:sz="4" w:space="0"/>
            </w:tcBorders>
            <w:shd w:val="clear" w:color="auto" w:fill="auto"/>
            <w:vAlign w:val="center"/>
          </w:tcPr>
          <w:p w14:paraId="3ACBE07F">
            <w:pPr>
              <w:widowControl/>
              <w:jc w:val="center"/>
              <w:rPr>
                <w:rFonts w:ascii="Times New Roman" w:hAnsi="宋体" w:eastAsia="宋体" w:cs="Times New Roman"/>
                <w:kern w:val="0"/>
                <w:sz w:val="22"/>
              </w:rPr>
            </w:pPr>
            <w:r>
              <w:rPr>
                <w:rFonts w:ascii="Times New Roman" w:hAnsi="宋体" w:eastAsia="宋体" w:cs="Times New Roman"/>
                <w:kern w:val="0"/>
                <w:sz w:val="22"/>
              </w:rPr>
              <w:t>体育工作部</w:t>
            </w:r>
          </w:p>
          <w:p w14:paraId="58253709">
            <w:pPr>
              <w:widowControl/>
              <w:jc w:val="center"/>
              <w:rPr>
                <w:rFonts w:ascii="Times New Roman" w:hAnsi="Times New Roman" w:eastAsia="宋体" w:cs="Times New Roman"/>
                <w:kern w:val="0"/>
                <w:sz w:val="22"/>
              </w:rPr>
            </w:pPr>
            <w:r>
              <w:rPr>
                <w:rFonts w:ascii="Times New Roman" w:hAnsi="宋体" w:eastAsia="宋体" w:cs="Times New Roman"/>
                <w:kern w:val="0"/>
                <w:sz w:val="22"/>
              </w:rPr>
              <w:t>专任教师</w:t>
            </w:r>
          </w:p>
        </w:tc>
        <w:tc>
          <w:tcPr>
            <w:tcW w:w="1536" w:type="dxa"/>
            <w:tcBorders>
              <w:top w:val="nil"/>
              <w:left w:val="nil"/>
              <w:bottom w:val="single" w:color="auto" w:sz="4" w:space="0"/>
              <w:right w:val="single" w:color="auto" w:sz="4" w:space="0"/>
            </w:tcBorders>
            <w:shd w:val="clear" w:color="auto" w:fill="auto"/>
            <w:vAlign w:val="center"/>
          </w:tcPr>
          <w:p w14:paraId="70ABCEB0">
            <w:pPr>
              <w:widowControl/>
              <w:jc w:val="center"/>
              <w:rPr>
                <w:rFonts w:ascii="Times New Roman" w:hAnsi="Times New Roman" w:eastAsia="宋体" w:cs="Times New Roman"/>
                <w:kern w:val="0"/>
                <w:sz w:val="22"/>
              </w:rPr>
            </w:pPr>
            <w:r>
              <w:rPr>
                <w:rFonts w:ascii="Times New Roman" w:hAnsi="宋体" w:eastAsia="宋体" w:cs="Times New Roman"/>
                <w:kern w:val="0"/>
                <w:sz w:val="22"/>
              </w:rPr>
              <w:t>体育学类、教育学类</w:t>
            </w:r>
          </w:p>
        </w:tc>
        <w:tc>
          <w:tcPr>
            <w:tcW w:w="1441" w:type="dxa"/>
            <w:tcBorders>
              <w:top w:val="nil"/>
              <w:left w:val="nil"/>
              <w:bottom w:val="single" w:color="auto" w:sz="4" w:space="0"/>
              <w:right w:val="single" w:color="auto" w:sz="4" w:space="0"/>
            </w:tcBorders>
            <w:shd w:val="clear" w:color="auto" w:fill="auto"/>
            <w:vAlign w:val="center"/>
          </w:tcPr>
          <w:p w14:paraId="2E8E0B43">
            <w:pPr>
              <w:widowControl/>
              <w:jc w:val="center"/>
              <w:rPr>
                <w:rFonts w:ascii="Times New Roman" w:hAnsi="Times New Roman" w:eastAsia="宋体" w:cs="Times New Roman"/>
                <w:kern w:val="0"/>
                <w:sz w:val="22"/>
              </w:rPr>
            </w:pPr>
            <w:r>
              <w:rPr>
                <w:rFonts w:ascii="Times New Roman" w:hAnsi="宋体" w:eastAsia="宋体" w:cs="Times New Roman"/>
                <w:kern w:val="0"/>
                <w:sz w:val="22"/>
              </w:rPr>
              <w:t>本科</w:t>
            </w:r>
            <w:r>
              <w:rPr>
                <w:rFonts w:ascii="Times New Roman" w:hAnsi="Times New Roman" w:eastAsia="宋体" w:cs="Times New Roman"/>
                <w:kern w:val="0"/>
                <w:sz w:val="22"/>
              </w:rPr>
              <w:t>/</w:t>
            </w:r>
            <w:r>
              <w:rPr>
                <w:rFonts w:ascii="Times New Roman" w:hAnsi="宋体" w:eastAsia="宋体" w:cs="Times New Roman"/>
                <w:kern w:val="0"/>
                <w:sz w:val="22"/>
              </w:rPr>
              <w:t>学士</w:t>
            </w:r>
          </w:p>
        </w:tc>
        <w:tc>
          <w:tcPr>
            <w:tcW w:w="809" w:type="dxa"/>
            <w:tcBorders>
              <w:top w:val="nil"/>
              <w:left w:val="nil"/>
              <w:bottom w:val="single" w:color="auto" w:sz="4" w:space="0"/>
              <w:right w:val="single" w:color="auto" w:sz="4" w:space="0"/>
            </w:tcBorders>
            <w:shd w:val="clear" w:color="auto" w:fill="auto"/>
            <w:vAlign w:val="center"/>
          </w:tcPr>
          <w:p w14:paraId="4B6FB70C">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1</w:t>
            </w:r>
          </w:p>
        </w:tc>
        <w:tc>
          <w:tcPr>
            <w:tcW w:w="4028" w:type="dxa"/>
            <w:tcBorders>
              <w:top w:val="nil"/>
              <w:left w:val="nil"/>
              <w:bottom w:val="single" w:color="auto" w:sz="4" w:space="0"/>
              <w:right w:val="single" w:color="auto" w:sz="4" w:space="0"/>
            </w:tcBorders>
            <w:shd w:val="clear" w:color="auto" w:fill="auto"/>
            <w:vAlign w:val="center"/>
          </w:tcPr>
          <w:p w14:paraId="2FC56E2F">
            <w:pPr>
              <w:widowControl/>
              <w:jc w:val="left"/>
              <w:rPr>
                <w:rFonts w:ascii="Times New Roman" w:hAnsi="Times New Roman" w:eastAsia="宋体" w:cs="Times New Roman"/>
                <w:kern w:val="0"/>
                <w:sz w:val="22"/>
              </w:rPr>
            </w:pPr>
            <w:r>
              <w:rPr>
                <w:rFonts w:ascii="Times New Roman" w:hAnsi="Times New Roman" w:eastAsia="宋体" w:cs="Times New Roman"/>
                <w:kern w:val="0"/>
                <w:sz w:val="22"/>
              </w:rPr>
              <w:t>1.</w:t>
            </w:r>
            <w:r>
              <w:rPr>
                <w:rFonts w:ascii="Times New Roman" w:hAnsi="宋体" w:eastAsia="宋体" w:cs="Times New Roman"/>
                <w:kern w:val="0"/>
                <w:sz w:val="22"/>
              </w:rPr>
              <w:t>曾被浙江省运动队正式招工</w:t>
            </w:r>
            <w:r>
              <w:rPr>
                <w:rFonts w:ascii="Times New Roman" w:hAnsi="Times New Roman" w:eastAsia="宋体" w:cs="Times New Roman"/>
                <w:kern w:val="0"/>
                <w:sz w:val="22"/>
              </w:rPr>
              <w:t>3</w:t>
            </w:r>
            <w:r>
              <w:rPr>
                <w:rFonts w:ascii="Times New Roman" w:hAnsi="宋体" w:eastAsia="宋体" w:cs="Times New Roman"/>
                <w:kern w:val="0"/>
                <w:sz w:val="22"/>
              </w:rPr>
              <w:t>年，运动成绩达到国家运动健将及以上标准，并经原招工单位审核正式退役；</w:t>
            </w:r>
            <w:r>
              <w:rPr>
                <w:rFonts w:ascii="Times New Roman" w:hAnsi="Times New Roman" w:eastAsia="宋体" w:cs="Times New Roman"/>
                <w:kern w:val="0"/>
                <w:sz w:val="22"/>
              </w:rPr>
              <w:t>2.</w:t>
            </w:r>
            <w:r>
              <w:rPr>
                <w:rFonts w:ascii="Times New Roman" w:hAnsi="宋体" w:eastAsia="宋体" w:cs="Times New Roman"/>
                <w:kern w:val="0"/>
                <w:sz w:val="22"/>
              </w:rPr>
              <w:t>年龄要求为</w:t>
            </w:r>
            <w:r>
              <w:rPr>
                <w:rFonts w:ascii="Times New Roman" w:hAnsi="Times New Roman" w:eastAsia="宋体" w:cs="Times New Roman"/>
                <w:kern w:val="0"/>
                <w:sz w:val="22"/>
              </w:rPr>
              <w:t>1989</w:t>
            </w:r>
            <w:r>
              <w:rPr>
                <w:rFonts w:ascii="Times New Roman" w:hAnsi="宋体" w:eastAsia="宋体" w:cs="Times New Roman"/>
                <w:kern w:val="0"/>
                <w:sz w:val="22"/>
              </w:rPr>
              <w:t>年</w:t>
            </w:r>
            <w:r>
              <w:rPr>
                <w:rFonts w:ascii="Times New Roman" w:hAnsi="Times New Roman" w:eastAsia="宋体" w:cs="Times New Roman"/>
                <w:kern w:val="0"/>
                <w:sz w:val="22"/>
              </w:rPr>
              <w:t>1</w:t>
            </w:r>
            <w:r>
              <w:rPr>
                <w:rFonts w:ascii="Times New Roman" w:hAnsi="宋体" w:eastAsia="宋体" w:cs="Times New Roman"/>
                <w:kern w:val="0"/>
                <w:sz w:val="22"/>
              </w:rPr>
              <w:t>月</w:t>
            </w:r>
            <w:r>
              <w:rPr>
                <w:rFonts w:ascii="Times New Roman" w:hAnsi="Times New Roman" w:eastAsia="宋体" w:cs="Times New Roman"/>
                <w:kern w:val="0"/>
                <w:sz w:val="22"/>
              </w:rPr>
              <w:t>1</w:t>
            </w:r>
            <w:r>
              <w:rPr>
                <w:rFonts w:ascii="Times New Roman" w:hAnsi="宋体" w:eastAsia="宋体" w:cs="Times New Roman"/>
                <w:kern w:val="0"/>
                <w:sz w:val="22"/>
              </w:rPr>
              <w:t>日及以后出生</w:t>
            </w:r>
            <w:r>
              <w:rPr>
                <w:rFonts w:hint="eastAsia" w:ascii="Times New Roman" w:hAnsi="宋体" w:eastAsia="宋体" w:cs="Times New Roman"/>
                <w:kern w:val="0"/>
                <w:sz w:val="22"/>
              </w:rPr>
              <w:t>；3.体育项目要求为篮球、乒乓球、羽毛球、网球。</w:t>
            </w:r>
          </w:p>
        </w:tc>
      </w:tr>
      <w:tr w14:paraId="660CAE5C">
        <w:tblPrEx>
          <w:tblCellMar>
            <w:top w:w="0" w:type="dxa"/>
            <w:left w:w="108" w:type="dxa"/>
            <w:bottom w:w="0" w:type="dxa"/>
            <w:right w:w="108" w:type="dxa"/>
          </w:tblCellMar>
        </w:tblPrEx>
        <w:trPr>
          <w:trHeight w:val="702" w:hRule="atLeast"/>
          <w:jc w:val="center"/>
        </w:trPr>
        <w:tc>
          <w:tcPr>
            <w:tcW w:w="757" w:type="dxa"/>
            <w:tcBorders>
              <w:top w:val="nil"/>
              <w:left w:val="single" w:color="auto" w:sz="4" w:space="0"/>
              <w:bottom w:val="single" w:color="auto" w:sz="4" w:space="0"/>
              <w:right w:val="single" w:color="auto" w:sz="4" w:space="0"/>
            </w:tcBorders>
            <w:shd w:val="clear" w:color="auto" w:fill="auto"/>
            <w:vAlign w:val="center"/>
          </w:tcPr>
          <w:p w14:paraId="7BBC3368">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2</w:t>
            </w:r>
          </w:p>
        </w:tc>
        <w:tc>
          <w:tcPr>
            <w:tcW w:w="1582" w:type="dxa"/>
            <w:tcBorders>
              <w:top w:val="nil"/>
              <w:left w:val="nil"/>
              <w:bottom w:val="single" w:color="auto" w:sz="4" w:space="0"/>
              <w:right w:val="single" w:color="auto" w:sz="4" w:space="0"/>
            </w:tcBorders>
            <w:shd w:val="clear" w:color="auto" w:fill="auto"/>
            <w:vAlign w:val="center"/>
          </w:tcPr>
          <w:p w14:paraId="3FED583E">
            <w:pPr>
              <w:widowControl/>
              <w:jc w:val="center"/>
              <w:rPr>
                <w:rFonts w:ascii="Times New Roman" w:hAnsi="宋体" w:eastAsia="宋体" w:cs="Times New Roman"/>
                <w:kern w:val="0"/>
                <w:sz w:val="22"/>
              </w:rPr>
            </w:pPr>
            <w:r>
              <w:rPr>
                <w:rFonts w:ascii="Times New Roman" w:hAnsi="宋体" w:eastAsia="宋体" w:cs="Times New Roman"/>
                <w:kern w:val="0"/>
                <w:sz w:val="22"/>
              </w:rPr>
              <w:t>体育工作部</w:t>
            </w:r>
          </w:p>
          <w:p w14:paraId="620EDEAD">
            <w:pPr>
              <w:widowControl/>
              <w:jc w:val="center"/>
              <w:rPr>
                <w:rFonts w:ascii="Times New Roman" w:hAnsi="Times New Roman" w:eastAsia="宋体" w:cs="Times New Roman"/>
                <w:kern w:val="0"/>
                <w:sz w:val="22"/>
              </w:rPr>
            </w:pPr>
            <w:r>
              <w:rPr>
                <w:rFonts w:ascii="Times New Roman" w:hAnsi="宋体" w:eastAsia="宋体" w:cs="Times New Roman"/>
                <w:kern w:val="0"/>
                <w:sz w:val="22"/>
              </w:rPr>
              <w:t>专任教师</w:t>
            </w:r>
          </w:p>
        </w:tc>
        <w:tc>
          <w:tcPr>
            <w:tcW w:w="1536" w:type="dxa"/>
            <w:tcBorders>
              <w:top w:val="nil"/>
              <w:left w:val="nil"/>
              <w:bottom w:val="single" w:color="auto" w:sz="4" w:space="0"/>
              <w:right w:val="single" w:color="auto" w:sz="4" w:space="0"/>
            </w:tcBorders>
            <w:shd w:val="clear" w:color="auto" w:fill="auto"/>
            <w:noWrap/>
            <w:vAlign w:val="center"/>
          </w:tcPr>
          <w:p w14:paraId="4CFDA816">
            <w:pPr>
              <w:widowControl/>
              <w:jc w:val="center"/>
              <w:rPr>
                <w:rFonts w:ascii="Times New Roman" w:hAnsi="Times New Roman" w:eastAsia="宋体" w:cs="Times New Roman"/>
                <w:kern w:val="0"/>
                <w:sz w:val="22"/>
              </w:rPr>
            </w:pPr>
            <w:r>
              <w:rPr>
                <w:rFonts w:ascii="Times New Roman" w:hAnsi="宋体" w:eastAsia="宋体" w:cs="Times New Roman"/>
                <w:kern w:val="0"/>
                <w:sz w:val="22"/>
              </w:rPr>
              <w:t>不限</w:t>
            </w:r>
          </w:p>
        </w:tc>
        <w:tc>
          <w:tcPr>
            <w:tcW w:w="1441" w:type="dxa"/>
            <w:tcBorders>
              <w:top w:val="nil"/>
              <w:left w:val="nil"/>
              <w:bottom w:val="single" w:color="auto" w:sz="4" w:space="0"/>
              <w:right w:val="single" w:color="auto" w:sz="4" w:space="0"/>
            </w:tcBorders>
            <w:shd w:val="clear" w:color="auto" w:fill="auto"/>
            <w:vAlign w:val="center"/>
          </w:tcPr>
          <w:p w14:paraId="1D394EAD">
            <w:pPr>
              <w:widowControl/>
              <w:jc w:val="center"/>
              <w:rPr>
                <w:rFonts w:ascii="Times New Roman" w:hAnsi="Times New Roman" w:eastAsia="宋体" w:cs="Times New Roman"/>
                <w:kern w:val="0"/>
                <w:sz w:val="22"/>
              </w:rPr>
            </w:pPr>
            <w:r>
              <w:rPr>
                <w:rFonts w:ascii="Times New Roman" w:hAnsi="宋体" w:eastAsia="宋体" w:cs="Times New Roman"/>
                <w:kern w:val="0"/>
                <w:sz w:val="22"/>
              </w:rPr>
              <w:t>本科</w:t>
            </w:r>
            <w:r>
              <w:rPr>
                <w:rFonts w:ascii="Times New Roman" w:hAnsi="Times New Roman" w:eastAsia="宋体" w:cs="Times New Roman"/>
                <w:kern w:val="0"/>
                <w:sz w:val="22"/>
              </w:rPr>
              <w:t>/</w:t>
            </w:r>
            <w:r>
              <w:rPr>
                <w:rFonts w:ascii="Times New Roman" w:hAnsi="宋体" w:eastAsia="宋体" w:cs="Times New Roman"/>
                <w:kern w:val="0"/>
                <w:sz w:val="22"/>
              </w:rPr>
              <w:t>学士</w:t>
            </w:r>
          </w:p>
        </w:tc>
        <w:tc>
          <w:tcPr>
            <w:tcW w:w="809" w:type="dxa"/>
            <w:tcBorders>
              <w:top w:val="nil"/>
              <w:left w:val="nil"/>
              <w:bottom w:val="single" w:color="auto" w:sz="4" w:space="0"/>
              <w:right w:val="single" w:color="auto" w:sz="4" w:space="0"/>
            </w:tcBorders>
            <w:shd w:val="clear" w:color="auto" w:fill="auto"/>
            <w:vAlign w:val="center"/>
          </w:tcPr>
          <w:p w14:paraId="787E54F9">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1</w:t>
            </w:r>
          </w:p>
        </w:tc>
        <w:tc>
          <w:tcPr>
            <w:tcW w:w="4028" w:type="dxa"/>
            <w:tcBorders>
              <w:top w:val="nil"/>
              <w:left w:val="nil"/>
              <w:bottom w:val="single" w:color="auto" w:sz="4" w:space="0"/>
              <w:right w:val="single" w:color="auto" w:sz="4" w:space="0"/>
            </w:tcBorders>
            <w:shd w:val="clear" w:color="auto" w:fill="auto"/>
            <w:vAlign w:val="center"/>
          </w:tcPr>
          <w:p w14:paraId="24E5B561">
            <w:pPr>
              <w:widowControl/>
              <w:jc w:val="center"/>
              <w:rPr>
                <w:rFonts w:ascii="Times New Roman" w:hAnsi="Times New Roman" w:eastAsia="宋体" w:cs="Times New Roman"/>
                <w:kern w:val="0"/>
                <w:sz w:val="22"/>
              </w:rPr>
            </w:pPr>
            <w:r>
              <w:rPr>
                <w:rFonts w:ascii="Times New Roman" w:hAnsi="宋体" w:eastAsia="宋体" w:cs="Times New Roman"/>
                <w:kern w:val="0"/>
                <w:sz w:val="22"/>
              </w:rPr>
              <w:t>围棋世界冠军</w:t>
            </w:r>
          </w:p>
        </w:tc>
      </w:tr>
      <w:tr w14:paraId="1D6570A5">
        <w:tblPrEx>
          <w:tblCellMar>
            <w:top w:w="0" w:type="dxa"/>
            <w:left w:w="108" w:type="dxa"/>
            <w:bottom w:w="0" w:type="dxa"/>
            <w:right w:w="108" w:type="dxa"/>
          </w:tblCellMar>
        </w:tblPrEx>
        <w:trPr>
          <w:trHeight w:val="600" w:hRule="atLeast"/>
          <w:jc w:val="center"/>
        </w:trPr>
        <w:tc>
          <w:tcPr>
            <w:tcW w:w="531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0D2E244">
            <w:pPr>
              <w:widowControl/>
              <w:jc w:val="center"/>
              <w:rPr>
                <w:rFonts w:ascii="Times New Roman" w:hAnsi="Times New Roman" w:eastAsia="宋体" w:cs="Times New Roman"/>
                <w:bCs/>
                <w:kern w:val="0"/>
                <w:sz w:val="20"/>
                <w:szCs w:val="20"/>
              </w:rPr>
            </w:pPr>
            <w:r>
              <w:rPr>
                <w:rFonts w:ascii="Times New Roman" w:hAnsi="宋体" w:eastAsia="宋体" w:cs="Times New Roman"/>
                <w:bCs/>
                <w:kern w:val="0"/>
                <w:sz w:val="20"/>
                <w:szCs w:val="20"/>
              </w:rPr>
              <w:t>合计</w:t>
            </w:r>
          </w:p>
        </w:tc>
        <w:tc>
          <w:tcPr>
            <w:tcW w:w="809" w:type="dxa"/>
            <w:tcBorders>
              <w:top w:val="nil"/>
              <w:left w:val="nil"/>
              <w:bottom w:val="single" w:color="auto" w:sz="4" w:space="0"/>
              <w:right w:val="single" w:color="auto" w:sz="4" w:space="0"/>
            </w:tcBorders>
            <w:shd w:val="clear" w:color="auto" w:fill="auto"/>
            <w:vAlign w:val="center"/>
          </w:tcPr>
          <w:p w14:paraId="08386317">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2</w:t>
            </w:r>
          </w:p>
        </w:tc>
        <w:tc>
          <w:tcPr>
            <w:tcW w:w="4028" w:type="dxa"/>
            <w:tcBorders>
              <w:top w:val="nil"/>
              <w:left w:val="nil"/>
              <w:bottom w:val="single" w:color="auto" w:sz="4" w:space="0"/>
              <w:right w:val="single" w:color="auto" w:sz="4" w:space="0"/>
            </w:tcBorders>
            <w:shd w:val="clear" w:color="auto" w:fill="auto"/>
            <w:noWrap/>
            <w:vAlign w:val="center"/>
          </w:tcPr>
          <w:p w14:paraId="59B58BCB">
            <w:pPr>
              <w:widowControl/>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　</w:t>
            </w:r>
          </w:p>
        </w:tc>
      </w:tr>
    </w:tbl>
    <w:p w14:paraId="22E7098E">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三、引进条件</w:t>
      </w:r>
    </w:p>
    <w:p w14:paraId="14904716">
      <w:pPr>
        <w:pStyle w:val="5"/>
        <w:overflowPunct w:val="0"/>
        <w:spacing w:line="400" w:lineRule="exact"/>
        <w:ind w:left="0" w:firstLine="488" w:firstLineChars="200"/>
        <w:jc w:val="both"/>
        <w:rPr>
          <w:rFonts w:ascii="仿宋_GB2312" w:eastAsia="仿宋_GB2312"/>
        </w:rPr>
      </w:pPr>
      <w:r>
        <w:rPr>
          <w:rFonts w:hint="eastAsia" w:ascii="仿宋_GB2312" w:eastAsia="仿宋_GB2312"/>
          <w:spacing w:val="2"/>
        </w:rPr>
        <w:t>热爱祖国，敬业爱岗，具有良好的品德修养和职业道德；善于团结协作，具有创新意识，愿为学校发展、学科专业建设和人才培养做出贡献；身心健康，能够胜任相应岗位工作的要求及具备岗位所需的其他条件。主要分为以下九个类别：</w:t>
      </w:r>
    </w:p>
    <w:p w14:paraId="3BD303C1">
      <w:pPr>
        <w:pStyle w:val="5"/>
        <w:overflowPunct w:val="0"/>
        <w:spacing w:line="400" w:lineRule="exact"/>
        <w:ind w:left="0" w:firstLine="482" w:firstLineChars="200"/>
        <w:rPr>
          <w:rFonts w:ascii="仿宋_GB2312" w:eastAsia="仿宋_GB2312"/>
          <w:b/>
        </w:rPr>
      </w:pPr>
      <w:r>
        <w:rPr>
          <w:rFonts w:hint="eastAsia" w:ascii="仿宋_GB2312" w:eastAsia="仿宋_GB2312"/>
          <w:b/>
        </w:rPr>
        <w:t>（一）A 类</w:t>
      </w:r>
    </w:p>
    <w:p w14:paraId="0ACC8C7F">
      <w:pPr>
        <w:pStyle w:val="5"/>
        <w:overflowPunct w:val="0"/>
        <w:spacing w:line="400" w:lineRule="exact"/>
        <w:ind w:firstLine="480" w:firstLineChars="200"/>
        <w:rPr>
          <w:rFonts w:ascii="仿宋_GB2312" w:eastAsia="仿宋_GB2312"/>
        </w:rPr>
      </w:pPr>
      <w:r>
        <w:rPr>
          <w:rFonts w:ascii="仿宋_GB2312" w:eastAsia="仿宋_GB2312"/>
        </w:rPr>
        <w:t>教学科研水平达到国际领先水平的海内外人才。</w:t>
      </w:r>
    </w:p>
    <w:p w14:paraId="65D5B027">
      <w:pPr>
        <w:pStyle w:val="5"/>
        <w:overflowPunct w:val="0"/>
        <w:spacing w:line="400" w:lineRule="exact"/>
        <w:ind w:left="0" w:firstLine="482" w:firstLineChars="200"/>
        <w:rPr>
          <w:rFonts w:ascii="仿宋_GB2312" w:eastAsia="仿宋_GB2312"/>
          <w:b/>
        </w:rPr>
      </w:pPr>
      <w:r>
        <w:rPr>
          <w:rFonts w:hint="eastAsia" w:ascii="仿宋_GB2312" w:eastAsia="仿宋_GB2312"/>
          <w:b/>
        </w:rPr>
        <w:t>（二）B 类</w:t>
      </w:r>
    </w:p>
    <w:p w14:paraId="5AAF3871">
      <w:pPr>
        <w:pStyle w:val="5"/>
        <w:overflowPunct w:val="0"/>
        <w:spacing w:line="400" w:lineRule="exact"/>
        <w:ind w:firstLine="480" w:firstLineChars="200"/>
        <w:rPr>
          <w:rFonts w:ascii="仿宋_GB2312" w:eastAsia="仿宋_GB2312"/>
        </w:rPr>
      </w:pPr>
      <w:r>
        <w:rPr>
          <w:rFonts w:ascii="仿宋_GB2312" w:eastAsia="仿宋_GB2312"/>
        </w:rPr>
        <w:t>教学科研水平达到国际先进或国内领先水平的海内外人才。</w:t>
      </w:r>
    </w:p>
    <w:p w14:paraId="2E4175A1">
      <w:pPr>
        <w:pStyle w:val="5"/>
        <w:overflowPunct w:val="0"/>
        <w:spacing w:line="400" w:lineRule="exact"/>
        <w:ind w:left="0" w:firstLine="482" w:firstLineChars="200"/>
        <w:rPr>
          <w:rFonts w:ascii="仿宋_GB2312" w:eastAsia="仿宋_GB2312"/>
          <w:b/>
        </w:rPr>
      </w:pPr>
      <w:r>
        <w:rPr>
          <w:rFonts w:hint="eastAsia" w:ascii="仿宋_GB2312" w:eastAsia="仿宋_GB2312"/>
          <w:b/>
        </w:rPr>
        <w:t>（三）C 类</w:t>
      </w:r>
    </w:p>
    <w:p w14:paraId="4110E4AD">
      <w:pPr>
        <w:pStyle w:val="5"/>
        <w:overflowPunct w:val="0"/>
        <w:spacing w:line="400" w:lineRule="exact"/>
        <w:ind w:firstLine="480" w:firstLineChars="200"/>
        <w:rPr>
          <w:rFonts w:ascii="仿宋_GB2312" w:eastAsia="仿宋_GB2312"/>
        </w:rPr>
      </w:pPr>
      <w:r>
        <w:rPr>
          <w:rFonts w:ascii="仿宋_GB2312" w:eastAsia="仿宋_GB2312"/>
        </w:rPr>
        <w:t>教学科研水平达到国内先进水平的海内外人才。</w:t>
      </w:r>
    </w:p>
    <w:p w14:paraId="05E47483">
      <w:pPr>
        <w:pStyle w:val="5"/>
        <w:overflowPunct w:val="0"/>
        <w:spacing w:line="400" w:lineRule="exact"/>
        <w:ind w:left="0" w:firstLine="482" w:firstLineChars="200"/>
        <w:rPr>
          <w:rFonts w:ascii="仿宋_GB2312" w:eastAsia="仿宋_GB2312"/>
          <w:b/>
        </w:rPr>
      </w:pPr>
      <w:r>
        <w:rPr>
          <w:rFonts w:hint="eastAsia" w:ascii="仿宋_GB2312" w:eastAsia="仿宋_GB2312"/>
          <w:b/>
        </w:rPr>
        <w:t>（四）D 类</w:t>
      </w:r>
    </w:p>
    <w:p w14:paraId="10EDBC86">
      <w:pPr>
        <w:pStyle w:val="5"/>
        <w:overflowPunct w:val="0"/>
        <w:spacing w:line="400" w:lineRule="exact"/>
        <w:ind w:left="0" w:firstLine="600" w:firstLineChars="250"/>
        <w:rPr>
          <w:rFonts w:ascii="仿宋_GB2312" w:eastAsia="仿宋_GB2312"/>
        </w:rPr>
      </w:pPr>
      <w:r>
        <w:rPr>
          <w:rFonts w:ascii="仿宋_GB2312" w:eastAsia="仿宋_GB2312"/>
        </w:rPr>
        <w:t>教学科研水平达到省级领先水平的海内外人才。</w:t>
      </w:r>
    </w:p>
    <w:p w14:paraId="3FA07F03">
      <w:pPr>
        <w:pStyle w:val="2"/>
        <w:overflowPunct w:val="0"/>
        <w:spacing w:line="400" w:lineRule="exact"/>
        <w:ind w:left="0"/>
        <w:rPr>
          <w:rFonts w:ascii="仿宋_GB2312" w:eastAsia="仿宋_GB2312"/>
          <w:b w:val="0"/>
          <w:bCs w:val="0"/>
        </w:rPr>
      </w:pPr>
      <w:r>
        <w:rPr>
          <w:rFonts w:hint="eastAsia" w:ascii="仿宋_GB2312" w:eastAsia="仿宋_GB2312"/>
        </w:rPr>
        <w:t>注：以上四类人才未尽事宜详询人事处工作人员。</w:t>
      </w:r>
    </w:p>
    <w:p w14:paraId="6412FCF7">
      <w:pPr>
        <w:pStyle w:val="5"/>
        <w:overflowPunct w:val="0"/>
        <w:spacing w:line="400" w:lineRule="exact"/>
        <w:rPr>
          <w:rFonts w:ascii="仿宋_GB2312" w:eastAsia="仿宋_GB2312"/>
          <w:b/>
          <w:bCs/>
        </w:rPr>
      </w:pPr>
      <w:r>
        <w:rPr>
          <w:rFonts w:hint="eastAsia" w:ascii="仿宋_GB2312" w:eastAsia="仿宋_GB2312"/>
          <w:b/>
          <w:bCs/>
        </w:rPr>
        <w:t xml:space="preserve">   （五）E类</w:t>
      </w:r>
    </w:p>
    <w:p w14:paraId="79274BD5">
      <w:pPr>
        <w:pStyle w:val="5"/>
        <w:overflowPunct w:val="0"/>
        <w:spacing w:line="400" w:lineRule="exact"/>
        <w:ind w:firstLine="480" w:firstLineChars="200"/>
        <w:rPr>
          <w:rFonts w:ascii="仿宋_GB2312" w:eastAsia="仿宋_GB2312"/>
        </w:rPr>
      </w:pPr>
      <w:r>
        <w:rPr>
          <w:rFonts w:hint="eastAsia" w:ascii="仿宋_GB2312" w:eastAsia="仿宋_GB2312"/>
        </w:rPr>
        <w:t>在本学科领域内具有较高的学术成就和知名度，具备担任学科带头人的能力与水平，有较大的发展潜力。具有博士学位，年龄不超过</w:t>
      </w:r>
      <w:r>
        <w:rPr>
          <w:rFonts w:hint="eastAsia" w:ascii="仿宋_GB2312" w:eastAsia="仿宋_GB2312"/>
          <w:bCs/>
        </w:rPr>
        <w:t>45周岁</w:t>
      </w:r>
      <w:r>
        <w:rPr>
          <w:rFonts w:hint="eastAsia" w:ascii="仿宋_GB2312" w:eastAsia="仿宋_GB2312"/>
          <w:bCs/>
          <w:spacing w:val="2"/>
        </w:rPr>
        <w:t>（1979年1月1日后出生）</w:t>
      </w:r>
      <w:r>
        <w:rPr>
          <w:rFonts w:hint="eastAsia" w:ascii="仿宋_GB2312" w:eastAsia="仿宋_GB2312"/>
        </w:rPr>
        <w:t>，一般应具有高级专业技术职务，并符合下列条件之一：</w:t>
      </w:r>
    </w:p>
    <w:p w14:paraId="122A5DB5">
      <w:pPr>
        <w:pStyle w:val="5"/>
        <w:overflowPunct w:val="0"/>
        <w:spacing w:line="400" w:lineRule="exact"/>
        <w:ind w:firstLine="480" w:firstLineChars="200"/>
        <w:rPr>
          <w:rFonts w:ascii="仿宋_GB2312" w:eastAsia="仿宋_GB2312"/>
        </w:rPr>
      </w:pPr>
      <w:r>
        <w:rPr>
          <w:rFonts w:hint="eastAsia" w:ascii="仿宋_GB2312" w:eastAsia="仿宋_GB2312"/>
        </w:rPr>
        <w:t>（1）获省部级教学科研成果奖（主持或参与），或全国教材建设奖二等奖（排名第一），或全国教师教学创新大赛一等奖及以上（排名第一）。</w:t>
      </w:r>
    </w:p>
    <w:p w14:paraId="4441EFA0">
      <w:pPr>
        <w:pStyle w:val="5"/>
        <w:overflowPunct w:val="0"/>
        <w:spacing w:line="400" w:lineRule="exact"/>
        <w:ind w:firstLine="480" w:firstLineChars="200"/>
        <w:rPr>
          <w:rFonts w:ascii="仿宋_GB2312" w:eastAsia="仿宋_GB2312"/>
        </w:rPr>
      </w:pPr>
      <w:r>
        <w:rPr>
          <w:rFonts w:hint="eastAsia" w:ascii="仿宋_GB2312" w:eastAsia="仿宋_GB2312"/>
        </w:rPr>
        <w:t>（2）理工类人才近三年主持国家级项目或省部级重大、重点项目，并以第一作者在本学科公认的一流学术期刊发表论文 5 篇及以上，成果原创性强、影响力大。人文社科、体育艺术类人才近三年主持国家级项目或省部级重大、重点项目，或主持省部级及以上科研项目 2 项，并以第一作者在本学科公认的一流学术期刊发表论文3 篇及以上，成果原创性强、影响力大。</w:t>
      </w:r>
    </w:p>
    <w:p w14:paraId="697DA1BA">
      <w:pPr>
        <w:pStyle w:val="5"/>
        <w:overflowPunct w:val="0"/>
        <w:spacing w:line="400" w:lineRule="exact"/>
        <w:ind w:firstLine="480" w:firstLineChars="200"/>
        <w:rPr>
          <w:rFonts w:ascii="仿宋_GB2312" w:eastAsia="仿宋_GB2312"/>
        </w:rPr>
      </w:pPr>
      <w:r>
        <w:rPr>
          <w:rFonts w:hint="eastAsia" w:ascii="仿宋_GB2312" w:eastAsia="仿宋_GB2312"/>
        </w:rPr>
        <w:t>（3）与上述业绩水平相当的其它专业技术业绩。</w:t>
      </w:r>
    </w:p>
    <w:p w14:paraId="0BA3320C">
      <w:pPr>
        <w:pStyle w:val="5"/>
        <w:overflowPunct w:val="0"/>
        <w:spacing w:line="400" w:lineRule="exact"/>
        <w:ind w:firstLine="488"/>
        <w:rPr>
          <w:rFonts w:ascii="仿宋_GB2312" w:eastAsia="仿宋_GB2312"/>
          <w:b/>
          <w:bCs/>
        </w:rPr>
      </w:pPr>
      <w:r>
        <w:rPr>
          <w:rFonts w:hint="eastAsia" w:ascii="仿宋_GB2312" w:eastAsia="仿宋_GB2312"/>
          <w:b/>
          <w:bCs/>
        </w:rPr>
        <w:t>（六）F类</w:t>
      </w:r>
    </w:p>
    <w:p w14:paraId="63DA5617">
      <w:pPr>
        <w:pStyle w:val="5"/>
        <w:overflowPunct w:val="0"/>
        <w:spacing w:line="400" w:lineRule="exact"/>
        <w:ind w:firstLine="480" w:firstLineChars="200"/>
        <w:rPr>
          <w:rFonts w:ascii="仿宋_GB2312" w:eastAsia="仿宋_GB2312"/>
        </w:rPr>
      </w:pPr>
      <w:r>
        <w:rPr>
          <w:rFonts w:hint="eastAsia" w:ascii="仿宋_GB2312" w:eastAsia="仿宋_GB2312"/>
        </w:rPr>
        <w:t>1.具有扎实的专业基础知识、较强的学术研究能力和良好的学术发展潜力，学术业绩优秀，年龄一般不超过40周岁</w:t>
      </w:r>
      <w:r>
        <w:rPr>
          <w:rFonts w:hint="eastAsia" w:ascii="Times New Roman" w:eastAsia="仿宋_GB2312" w:cs="Times New Roman"/>
          <w:bCs/>
          <w:color w:val="000000" w:themeColor="text1"/>
          <w14:textFill>
            <w14:solidFill>
              <w14:schemeClr w14:val="tx1"/>
            </w14:solidFill>
          </w14:textFill>
        </w:rPr>
        <w:t>（1984年1月1日后出生）</w:t>
      </w:r>
      <w:r>
        <w:rPr>
          <w:rFonts w:hint="eastAsia" w:ascii="仿宋_GB2312" w:eastAsia="仿宋_GB2312"/>
        </w:rPr>
        <w:t>的博士研究生。</w:t>
      </w:r>
    </w:p>
    <w:p w14:paraId="3618494B">
      <w:pPr>
        <w:pStyle w:val="5"/>
        <w:overflowPunct w:val="0"/>
        <w:spacing w:line="400" w:lineRule="exact"/>
        <w:ind w:firstLine="480" w:firstLineChars="200"/>
        <w:rPr>
          <w:rFonts w:ascii="仿宋_GB2312" w:eastAsia="仿宋_GB2312"/>
        </w:rPr>
      </w:pPr>
      <w:r>
        <w:rPr>
          <w:rFonts w:hint="eastAsia" w:ascii="仿宋_GB2312" w:eastAsia="仿宋_GB2312"/>
        </w:rPr>
        <w:t>2.年龄41-45周岁的理工类优秀博士，应具有高级专业技术职务，并符合下列条件之一：</w:t>
      </w:r>
    </w:p>
    <w:p w14:paraId="425BAFF4">
      <w:pPr>
        <w:pStyle w:val="5"/>
        <w:overflowPunct w:val="0"/>
        <w:spacing w:line="400" w:lineRule="exact"/>
        <w:ind w:firstLine="480" w:firstLineChars="200"/>
        <w:rPr>
          <w:rFonts w:ascii="仿宋_GB2312" w:eastAsia="仿宋_GB2312"/>
        </w:rPr>
      </w:pPr>
      <w:r>
        <w:rPr>
          <w:rFonts w:hint="eastAsia" w:ascii="仿宋_GB2312" w:eastAsia="仿宋_GB2312"/>
        </w:rPr>
        <w:t>（1）近三年主持省部级及以上科研项目1项，且以第一作者在本学科公认的一流学术期刊发表论文</w:t>
      </w:r>
      <w:r>
        <w:rPr>
          <w:rFonts w:hint="eastAsia" w:ascii="仿宋_GB2312" w:eastAsia="仿宋_GB2312"/>
          <w:bCs/>
        </w:rPr>
        <w:t>2</w:t>
      </w:r>
      <w:r>
        <w:rPr>
          <w:rFonts w:hint="eastAsia" w:ascii="仿宋_GB2312" w:eastAsia="仿宋_GB2312"/>
        </w:rPr>
        <w:t>篇及以上；</w:t>
      </w:r>
    </w:p>
    <w:p w14:paraId="1F4E85C5">
      <w:pPr>
        <w:pStyle w:val="5"/>
        <w:overflowPunct w:val="0"/>
        <w:spacing w:line="400" w:lineRule="exact"/>
        <w:ind w:firstLine="480" w:firstLineChars="200"/>
        <w:rPr>
          <w:rFonts w:ascii="仿宋_GB2312" w:eastAsia="仿宋_GB2312"/>
        </w:rPr>
      </w:pPr>
      <w:r>
        <w:rPr>
          <w:rFonts w:hint="eastAsia" w:ascii="仿宋_GB2312" w:eastAsia="仿宋_GB2312"/>
        </w:rPr>
        <w:t>（2）近三年以第一作者在本学科公认的一流学术期刊发表论文4篇及以上。</w:t>
      </w:r>
    </w:p>
    <w:p w14:paraId="4E500410">
      <w:pPr>
        <w:pStyle w:val="5"/>
        <w:overflowPunct w:val="0"/>
        <w:spacing w:line="400" w:lineRule="exact"/>
        <w:ind w:firstLine="480" w:firstLineChars="200"/>
        <w:rPr>
          <w:rFonts w:ascii="仿宋_GB2312" w:eastAsia="仿宋_GB2312"/>
        </w:rPr>
      </w:pPr>
      <w:r>
        <w:rPr>
          <w:rFonts w:hint="eastAsia" w:ascii="仿宋_GB2312" w:eastAsia="仿宋_GB2312"/>
        </w:rPr>
        <w:t>符合以上条件且具有两年以上工程实践经历的人才，可优先考虑。</w:t>
      </w:r>
    </w:p>
    <w:p w14:paraId="13D0BA00">
      <w:pPr>
        <w:pStyle w:val="5"/>
        <w:overflowPunct w:val="0"/>
        <w:spacing w:line="400" w:lineRule="exact"/>
        <w:ind w:firstLine="480" w:firstLineChars="200"/>
        <w:rPr>
          <w:rFonts w:ascii="仿宋_GB2312" w:eastAsia="仿宋_GB2312"/>
        </w:rPr>
      </w:pPr>
      <w:r>
        <w:rPr>
          <w:rFonts w:hint="eastAsia" w:ascii="仿宋_GB2312" w:eastAsia="仿宋_GB2312"/>
        </w:rPr>
        <w:t>3.年龄41-45周岁的人文社科、体育艺术类优秀博士，应符合下列条件之一：</w:t>
      </w:r>
    </w:p>
    <w:p w14:paraId="6B85AC8E">
      <w:pPr>
        <w:pStyle w:val="5"/>
        <w:overflowPunct w:val="0"/>
        <w:spacing w:line="400" w:lineRule="exact"/>
        <w:ind w:left="126" w:leftChars="60" w:firstLine="480" w:firstLineChars="200"/>
        <w:rPr>
          <w:rFonts w:ascii="仿宋_GB2312" w:eastAsia="仿宋_GB2312"/>
        </w:rPr>
      </w:pPr>
      <w:r>
        <w:rPr>
          <w:rFonts w:hint="eastAsia" w:ascii="仿宋_GB2312" w:eastAsia="仿宋_GB2312"/>
        </w:rPr>
        <w:t>（1）近五年主持省部级及以上科研项目1项，且以第一作者在本学科公认的一流学术期刊发表论文</w:t>
      </w:r>
      <w:r>
        <w:rPr>
          <w:rFonts w:hint="eastAsia" w:ascii="仿宋_GB2312" w:eastAsia="仿宋_GB2312"/>
          <w:bCs/>
        </w:rPr>
        <w:t>1</w:t>
      </w:r>
      <w:r>
        <w:rPr>
          <w:rFonts w:hint="eastAsia" w:ascii="仿宋_GB2312" w:eastAsia="仿宋_GB2312"/>
        </w:rPr>
        <w:t>篇及以上（外语和体育艺术类放宽至在北大核心期刊发表论文</w:t>
      </w:r>
      <w:r>
        <w:rPr>
          <w:rFonts w:hint="eastAsia" w:ascii="仿宋_GB2312" w:eastAsia="仿宋_GB2312"/>
          <w:bCs/>
        </w:rPr>
        <w:t>1</w:t>
      </w:r>
      <w:r>
        <w:rPr>
          <w:rFonts w:hint="eastAsia" w:ascii="仿宋_GB2312" w:eastAsia="仿宋_GB2312"/>
        </w:rPr>
        <w:t>篇及以上）；</w:t>
      </w:r>
    </w:p>
    <w:p w14:paraId="40F5BBF7">
      <w:pPr>
        <w:pStyle w:val="5"/>
        <w:overflowPunct w:val="0"/>
        <w:spacing w:line="400" w:lineRule="exact"/>
        <w:ind w:left="0" w:firstLine="600" w:firstLineChars="250"/>
        <w:jc w:val="both"/>
        <w:rPr>
          <w:rFonts w:ascii="仿宋_GB2312" w:eastAsia="仿宋_GB2312"/>
          <w:spacing w:val="2"/>
        </w:rPr>
      </w:pPr>
      <w:r>
        <w:rPr>
          <w:rFonts w:hint="eastAsia" w:ascii="仿宋_GB2312" w:eastAsia="仿宋_GB2312"/>
        </w:rPr>
        <w:t>（2）近五年以第一作者在本学科公认的一流学术期刊发表论文3篇及以上（外语和体育艺术类放宽至在北大核心期刊发表论文</w:t>
      </w:r>
      <w:r>
        <w:rPr>
          <w:rFonts w:ascii="仿宋_GB2312" w:eastAsia="仿宋_GB2312"/>
          <w:bCs/>
        </w:rPr>
        <w:t>2</w:t>
      </w:r>
      <w:r>
        <w:rPr>
          <w:rFonts w:hint="eastAsia" w:ascii="仿宋_GB2312" w:eastAsia="仿宋_GB2312"/>
        </w:rPr>
        <w:t>篇及以上）。</w:t>
      </w:r>
    </w:p>
    <w:p w14:paraId="0549B747">
      <w:pPr>
        <w:pStyle w:val="5"/>
        <w:overflowPunct w:val="0"/>
        <w:spacing w:line="400" w:lineRule="exact"/>
        <w:ind w:left="0" w:firstLine="482" w:firstLineChars="200"/>
        <w:rPr>
          <w:rFonts w:ascii="仿宋_GB2312" w:eastAsia="仿宋_GB2312"/>
          <w:b/>
        </w:rPr>
      </w:pPr>
      <w:r>
        <w:rPr>
          <w:rFonts w:hint="eastAsia" w:ascii="仿宋_GB2312" w:eastAsia="仿宋_GB2312"/>
          <w:b/>
        </w:rPr>
        <w:t>（七）人才团队</w:t>
      </w:r>
    </w:p>
    <w:p w14:paraId="0A30FAAD">
      <w:pPr>
        <w:pStyle w:val="5"/>
        <w:overflowPunct w:val="0"/>
        <w:spacing w:line="400" w:lineRule="exact"/>
        <w:ind w:left="0" w:firstLine="488" w:firstLineChars="200"/>
        <w:jc w:val="both"/>
        <w:rPr>
          <w:rFonts w:ascii="仿宋_GB2312" w:eastAsia="仿宋_GB2312"/>
          <w:spacing w:val="2"/>
        </w:rPr>
      </w:pPr>
      <w:r>
        <w:rPr>
          <w:rFonts w:hint="eastAsia" w:ascii="仿宋_GB2312" w:eastAsia="仿宋_GB2312"/>
          <w:bCs/>
          <w:spacing w:val="2"/>
        </w:rPr>
        <w:t>团队一般由</w:t>
      </w:r>
      <w:r>
        <w:rPr>
          <w:rFonts w:ascii="仿宋_GB2312" w:eastAsia="仿宋_GB2312"/>
          <w:bCs/>
          <w:spacing w:val="2"/>
        </w:rPr>
        <w:t>5</w:t>
      </w:r>
      <w:r>
        <w:rPr>
          <w:rFonts w:hint="eastAsia" w:ascii="仿宋_GB2312" w:eastAsia="仿宋_GB2312"/>
          <w:bCs/>
          <w:spacing w:val="2"/>
        </w:rPr>
        <w:t xml:space="preserve">名左右人员组成，其中团队带头人 </w:t>
      </w:r>
      <w:r>
        <w:rPr>
          <w:rFonts w:ascii="仿宋_GB2312" w:eastAsia="仿宋_GB2312"/>
          <w:bCs/>
          <w:spacing w:val="2"/>
        </w:rPr>
        <w:t xml:space="preserve">1 </w:t>
      </w:r>
      <w:r>
        <w:rPr>
          <w:rFonts w:hint="eastAsia" w:ascii="仿宋_GB2312" w:eastAsia="仿宋_GB2312"/>
          <w:bCs/>
          <w:spacing w:val="2"/>
        </w:rPr>
        <w:t>人，年龄一般不超过 50周岁（1974年1月1日后出生），团队带头人应为项目的主要研发人员，具有博士研究生学历学位、正高级专业技术职务</w:t>
      </w:r>
      <w:r>
        <w:rPr>
          <w:rFonts w:hint="eastAsia" w:ascii="仿宋_GB2312" w:eastAsia="仿宋_GB2312"/>
          <w:spacing w:val="2"/>
        </w:rPr>
        <w:t>，符合D类及以上人才条件。团队中具有博士研究生学历学位或正高级专业技术职务的成员占60%以上。</w:t>
      </w:r>
    </w:p>
    <w:p w14:paraId="0257A476">
      <w:pPr>
        <w:pStyle w:val="5"/>
        <w:overflowPunct w:val="0"/>
        <w:spacing w:line="400" w:lineRule="exact"/>
        <w:ind w:left="0" w:firstLine="490" w:firstLineChars="200"/>
        <w:jc w:val="both"/>
        <w:rPr>
          <w:rFonts w:ascii="Times New Roman" w:eastAsia="仿宋_GB2312" w:cs="Times New Roman"/>
          <w:b/>
          <w:bCs/>
          <w:color w:val="000000" w:themeColor="text1"/>
          <w14:textFill>
            <w14:solidFill>
              <w14:schemeClr w14:val="tx1"/>
            </w14:solidFill>
          </w14:textFill>
        </w:rPr>
      </w:pPr>
      <w:r>
        <w:rPr>
          <w:rFonts w:hint="eastAsia" w:ascii="仿宋_GB2312" w:eastAsia="仿宋_GB2312"/>
          <w:b/>
          <w:spacing w:val="2"/>
        </w:rPr>
        <w:t>（八）</w:t>
      </w:r>
      <w:r>
        <w:rPr>
          <w:rFonts w:ascii="Times New Roman" w:eastAsia="仿宋_GB2312" w:cs="Times New Roman"/>
          <w:b/>
          <w:bCs/>
          <w:color w:val="000000" w:themeColor="text1"/>
          <w14:textFill>
            <w14:solidFill>
              <w14:schemeClr w14:val="tx1"/>
            </w14:solidFill>
          </w14:textFill>
        </w:rPr>
        <w:t>硕士研究生</w:t>
      </w:r>
    </w:p>
    <w:p w14:paraId="67B98655">
      <w:pPr>
        <w:pStyle w:val="5"/>
        <w:overflowPunct w:val="0"/>
        <w:spacing w:line="400" w:lineRule="exact"/>
        <w:ind w:left="0" w:firstLine="480" w:firstLineChars="200"/>
        <w:jc w:val="both"/>
        <w:rPr>
          <w:rFonts w:ascii="Times New Roman" w:eastAsia="仿宋_GB2312" w:cs="Times New Roman"/>
          <w:bCs/>
          <w:color w:val="000000" w:themeColor="text1"/>
          <w14:textFill>
            <w14:solidFill>
              <w14:schemeClr w14:val="tx1"/>
            </w14:solidFill>
          </w14:textFill>
        </w:rPr>
      </w:pPr>
      <w:r>
        <w:rPr>
          <w:rFonts w:hint="eastAsia" w:ascii="Times New Roman" w:eastAsia="仿宋_GB2312" w:cs="Times New Roman"/>
          <w:bCs/>
          <w:color w:val="000000" w:themeColor="text1"/>
          <w14:textFill>
            <w14:solidFill>
              <w14:schemeClr w14:val="tx1"/>
            </w14:solidFill>
          </w14:textFill>
        </w:rPr>
        <w:t>年龄一般不超过35周岁（1989年1月1日后出生）；具体岗位所需条件详见招聘公告。</w:t>
      </w:r>
    </w:p>
    <w:p w14:paraId="1156BEB1">
      <w:pPr>
        <w:pStyle w:val="5"/>
        <w:overflowPunct w:val="0"/>
        <w:spacing w:line="400" w:lineRule="exact"/>
        <w:ind w:left="0" w:firstLine="482" w:firstLineChars="200"/>
        <w:jc w:val="both"/>
        <w:rPr>
          <w:rFonts w:ascii="Times New Roman" w:eastAsia="仿宋_GB2312" w:cs="Times New Roman"/>
          <w:b/>
          <w:bCs/>
          <w:color w:val="000000" w:themeColor="text1"/>
          <w14:textFill>
            <w14:solidFill>
              <w14:schemeClr w14:val="tx1"/>
            </w14:solidFill>
          </w14:textFill>
        </w:rPr>
      </w:pPr>
      <w:r>
        <w:rPr>
          <w:rFonts w:hint="eastAsia" w:ascii="Times New Roman" w:eastAsia="仿宋_GB2312" w:cs="Times New Roman"/>
          <w:b/>
          <w:bCs/>
          <w:color w:val="000000" w:themeColor="text1"/>
          <w14:textFill>
            <w14:solidFill>
              <w14:schemeClr w14:val="tx1"/>
            </w14:solidFill>
          </w14:textFill>
        </w:rPr>
        <w:t>（九）优秀运动员</w:t>
      </w:r>
    </w:p>
    <w:p w14:paraId="4F9C85D7">
      <w:pPr>
        <w:pStyle w:val="5"/>
        <w:overflowPunct w:val="0"/>
        <w:spacing w:line="400" w:lineRule="exact"/>
        <w:ind w:left="0" w:firstLine="480" w:firstLineChars="200"/>
        <w:jc w:val="both"/>
        <w:rPr>
          <w:rFonts w:ascii="Times New Roman" w:eastAsia="仿宋_GB2312" w:cs="Times New Roman"/>
          <w:bCs/>
          <w:color w:val="000000" w:themeColor="text1"/>
          <w14:textFill>
            <w14:solidFill>
              <w14:schemeClr w14:val="tx1"/>
            </w14:solidFill>
          </w14:textFill>
        </w:rPr>
      </w:pPr>
      <w:r>
        <w:rPr>
          <w:rFonts w:hint="eastAsia" w:ascii="Times New Roman" w:eastAsia="仿宋_GB2312" w:cs="Times New Roman"/>
          <w:bCs/>
          <w:color w:val="000000" w:themeColor="text1"/>
          <w14:textFill>
            <w14:solidFill>
              <w14:schemeClr w14:val="tx1"/>
            </w14:solidFill>
          </w14:textFill>
        </w:rPr>
        <w:t>年龄一般不超过35周岁；具体岗位所需条件详见招聘公告。</w:t>
      </w:r>
    </w:p>
    <w:p w14:paraId="5F54ABDD">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四、引进待遇</w:t>
      </w:r>
    </w:p>
    <w:p w14:paraId="54224ADF">
      <w:pPr>
        <w:spacing w:line="400" w:lineRule="exact"/>
        <w:ind w:firstLine="480" w:firstLineChars="200"/>
        <w:rPr>
          <w:rFonts w:ascii="仿宋_GB2312" w:hAnsi="Times New Roman" w:eastAsia="仿宋_GB2312" w:cs="仿宋"/>
          <w:kern w:val="0"/>
          <w:sz w:val="24"/>
          <w:szCs w:val="24"/>
        </w:rPr>
      </w:pPr>
      <w:r>
        <w:rPr>
          <w:rFonts w:hint="eastAsia" w:ascii="仿宋_GB2312" w:hAnsi="Times New Roman" w:eastAsia="仿宋_GB2312" w:cs="仿宋"/>
          <w:kern w:val="0"/>
          <w:sz w:val="24"/>
          <w:szCs w:val="24"/>
        </w:rPr>
        <w:t>学校提供的待遇见下表。待遇中涉及的个人所得税由引进人才本人依法缴纳。（</w:t>
      </w:r>
      <w:r>
        <w:rPr>
          <w:rFonts w:hint="eastAsia" w:ascii="仿宋_GB2312" w:hAnsi="仿宋" w:eastAsia="仿宋_GB2312" w:cs="宋体"/>
          <w:kern w:val="0"/>
          <w:sz w:val="24"/>
          <w:szCs w:val="24"/>
        </w:rPr>
        <w:t>人才团队待遇参照学校团队引进相关文件执行）</w:t>
      </w:r>
    </w:p>
    <w:p w14:paraId="451D9ACC">
      <w:pPr>
        <w:pStyle w:val="5"/>
        <w:overflowPunct w:val="0"/>
        <w:spacing w:line="400" w:lineRule="exact"/>
        <w:ind w:left="0" w:firstLine="482" w:firstLineChars="200"/>
        <w:rPr>
          <w:rFonts w:ascii="仿宋_GB2312" w:eastAsia="仿宋_GB2312"/>
          <w:b/>
        </w:rPr>
      </w:pPr>
      <w:r>
        <w:rPr>
          <w:rFonts w:hint="eastAsia" w:ascii="仿宋_GB2312" w:eastAsia="仿宋_GB2312"/>
          <w:b/>
        </w:rPr>
        <w:t>（一）基本待遇</w:t>
      </w:r>
    </w:p>
    <w:tbl>
      <w:tblPr>
        <w:tblStyle w:val="10"/>
        <w:tblpPr w:leftFromText="180" w:rightFromText="180" w:vertAnchor="text" w:horzAnchor="margin" w:tblpY="74"/>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3"/>
        <w:gridCol w:w="1438"/>
        <w:gridCol w:w="1523"/>
        <w:gridCol w:w="1354"/>
        <w:gridCol w:w="1151"/>
        <w:gridCol w:w="1181"/>
        <w:gridCol w:w="1410"/>
      </w:tblGrid>
      <w:tr w14:paraId="5B88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Merge w:val="restart"/>
            <w:vAlign w:val="center"/>
          </w:tcPr>
          <w:p w14:paraId="537ECA23">
            <w:pPr>
              <w:spacing w:line="400" w:lineRule="exact"/>
              <w:ind w:firstLine="480" w:firstLineChars="200"/>
              <w:rPr>
                <w:rFonts w:ascii="仿宋_GB2312" w:hAnsi="仿宋" w:eastAsia="仿宋_GB2312" w:cs="宋体"/>
                <w:kern w:val="0"/>
                <w:sz w:val="24"/>
                <w:szCs w:val="24"/>
              </w:rPr>
            </w:pPr>
          </w:p>
        </w:tc>
        <w:tc>
          <w:tcPr>
            <w:tcW w:w="1438" w:type="dxa"/>
            <w:vMerge w:val="restart"/>
            <w:vAlign w:val="center"/>
          </w:tcPr>
          <w:p w14:paraId="43D9F84C">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薪酬</w:t>
            </w:r>
          </w:p>
          <w:p w14:paraId="57E7CDE7">
            <w:pPr>
              <w:spacing w:line="400" w:lineRule="exact"/>
              <w:rPr>
                <w:rFonts w:ascii="仿宋_GB2312" w:hAnsi="仿宋" w:eastAsia="仿宋_GB2312" w:cs="宋体"/>
                <w:kern w:val="0"/>
                <w:sz w:val="24"/>
                <w:szCs w:val="24"/>
              </w:rPr>
            </w:pPr>
            <w:r>
              <w:rPr>
                <w:rFonts w:hint="eastAsia" w:ascii="仿宋_GB2312" w:hAnsi="仿宋" w:eastAsia="仿宋_GB2312" w:cs="宋体"/>
                <w:kern w:val="0"/>
                <w:sz w:val="24"/>
                <w:szCs w:val="24"/>
              </w:rPr>
              <w:t>（万元/年）</w:t>
            </w:r>
          </w:p>
        </w:tc>
        <w:tc>
          <w:tcPr>
            <w:tcW w:w="1523" w:type="dxa"/>
            <w:vMerge w:val="restart"/>
            <w:vAlign w:val="center"/>
          </w:tcPr>
          <w:p w14:paraId="763E69B3">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购房补助面积（平方米）</w:t>
            </w:r>
          </w:p>
        </w:tc>
        <w:tc>
          <w:tcPr>
            <w:tcW w:w="1354" w:type="dxa"/>
            <w:vMerge w:val="restart"/>
            <w:vAlign w:val="center"/>
          </w:tcPr>
          <w:p w14:paraId="4CA98E2E">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安家补助</w:t>
            </w:r>
          </w:p>
          <w:p w14:paraId="42C317E7">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（万元）</w:t>
            </w:r>
          </w:p>
        </w:tc>
        <w:tc>
          <w:tcPr>
            <w:tcW w:w="2332" w:type="dxa"/>
            <w:gridSpan w:val="2"/>
            <w:vAlign w:val="center"/>
          </w:tcPr>
          <w:p w14:paraId="2FC87328">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科研启动费（万元）</w:t>
            </w:r>
          </w:p>
        </w:tc>
        <w:tc>
          <w:tcPr>
            <w:tcW w:w="1410" w:type="dxa"/>
            <w:vMerge w:val="restart"/>
            <w:vAlign w:val="center"/>
          </w:tcPr>
          <w:p w14:paraId="5865A7EB">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人才津贴</w:t>
            </w:r>
          </w:p>
          <w:p w14:paraId="584BDCD1">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（万元/年）</w:t>
            </w:r>
          </w:p>
        </w:tc>
      </w:tr>
      <w:tr w14:paraId="0006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Merge w:val="continue"/>
            <w:vAlign w:val="center"/>
          </w:tcPr>
          <w:p w14:paraId="148A181B">
            <w:pPr>
              <w:spacing w:line="400" w:lineRule="exact"/>
              <w:ind w:firstLine="480" w:firstLineChars="200"/>
              <w:rPr>
                <w:rFonts w:ascii="仿宋_GB2312" w:hAnsi="仿宋" w:eastAsia="仿宋_GB2312" w:cs="宋体"/>
                <w:kern w:val="0"/>
                <w:sz w:val="24"/>
                <w:szCs w:val="24"/>
              </w:rPr>
            </w:pPr>
          </w:p>
        </w:tc>
        <w:tc>
          <w:tcPr>
            <w:tcW w:w="1438" w:type="dxa"/>
            <w:vMerge w:val="continue"/>
            <w:vAlign w:val="center"/>
          </w:tcPr>
          <w:p w14:paraId="418C4ED1">
            <w:pPr>
              <w:spacing w:line="400" w:lineRule="exact"/>
              <w:ind w:firstLine="480" w:firstLineChars="200"/>
              <w:rPr>
                <w:rFonts w:ascii="仿宋_GB2312" w:hAnsi="仿宋" w:eastAsia="仿宋_GB2312" w:cs="宋体"/>
                <w:kern w:val="0"/>
                <w:sz w:val="24"/>
                <w:szCs w:val="24"/>
              </w:rPr>
            </w:pPr>
          </w:p>
        </w:tc>
        <w:tc>
          <w:tcPr>
            <w:tcW w:w="1523" w:type="dxa"/>
            <w:vMerge w:val="continue"/>
            <w:vAlign w:val="center"/>
          </w:tcPr>
          <w:p w14:paraId="590A1288">
            <w:pPr>
              <w:spacing w:line="400" w:lineRule="exact"/>
              <w:ind w:firstLine="480" w:firstLineChars="200"/>
              <w:rPr>
                <w:rFonts w:ascii="仿宋_GB2312" w:hAnsi="仿宋" w:eastAsia="仿宋_GB2312" w:cs="宋体"/>
                <w:kern w:val="0"/>
                <w:sz w:val="24"/>
                <w:szCs w:val="24"/>
              </w:rPr>
            </w:pPr>
          </w:p>
        </w:tc>
        <w:tc>
          <w:tcPr>
            <w:tcW w:w="1354" w:type="dxa"/>
            <w:vMerge w:val="continue"/>
            <w:vAlign w:val="center"/>
          </w:tcPr>
          <w:p w14:paraId="6495B435">
            <w:pPr>
              <w:spacing w:line="400" w:lineRule="exact"/>
              <w:ind w:firstLine="480" w:firstLineChars="200"/>
              <w:rPr>
                <w:rFonts w:ascii="仿宋_GB2312" w:hAnsi="仿宋" w:eastAsia="仿宋_GB2312" w:cs="宋体"/>
                <w:kern w:val="0"/>
                <w:sz w:val="24"/>
                <w:szCs w:val="24"/>
              </w:rPr>
            </w:pPr>
          </w:p>
        </w:tc>
        <w:tc>
          <w:tcPr>
            <w:tcW w:w="1151" w:type="dxa"/>
            <w:vAlign w:val="center"/>
          </w:tcPr>
          <w:p w14:paraId="7A9E5C69">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理工科</w:t>
            </w:r>
          </w:p>
        </w:tc>
        <w:tc>
          <w:tcPr>
            <w:tcW w:w="1181" w:type="dxa"/>
            <w:vAlign w:val="center"/>
          </w:tcPr>
          <w:p w14:paraId="71136045">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文科</w:t>
            </w:r>
          </w:p>
        </w:tc>
        <w:tc>
          <w:tcPr>
            <w:tcW w:w="1410" w:type="dxa"/>
            <w:vMerge w:val="continue"/>
            <w:vAlign w:val="center"/>
          </w:tcPr>
          <w:p w14:paraId="464D7C85">
            <w:pPr>
              <w:spacing w:line="400" w:lineRule="exact"/>
              <w:ind w:firstLine="480" w:firstLineChars="200"/>
              <w:rPr>
                <w:rFonts w:ascii="仿宋_GB2312" w:hAnsi="仿宋" w:eastAsia="仿宋_GB2312" w:cs="宋体"/>
                <w:kern w:val="0"/>
                <w:sz w:val="24"/>
                <w:szCs w:val="24"/>
              </w:rPr>
            </w:pPr>
          </w:p>
        </w:tc>
      </w:tr>
      <w:tr w14:paraId="10FF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Align w:val="center"/>
          </w:tcPr>
          <w:p w14:paraId="134E44C3">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 xml:space="preserve">A </w:t>
            </w:r>
            <w:r>
              <w:rPr>
                <w:rFonts w:hint="eastAsia" w:ascii="仿宋_GB2312" w:hAnsi="仿宋" w:eastAsia="仿宋_GB2312" w:cs="宋体"/>
                <w:kern w:val="0"/>
                <w:sz w:val="24"/>
                <w:szCs w:val="24"/>
              </w:rPr>
              <w:t>类</w:t>
            </w:r>
          </w:p>
        </w:tc>
        <w:tc>
          <w:tcPr>
            <w:tcW w:w="1438" w:type="dxa"/>
            <w:vAlign w:val="center"/>
          </w:tcPr>
          <w:p w14:paraId="1906B1B7">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523" w:type="dxa"/>
            <w:vAlign w:val="center"/>
          </w:tcPr>
          <w:p w14:paraId="4F2C43A4">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354" w:type="dxa"/>
            <w:vAlign w:val="center"/>
          </w:tcPr>
          <w:p w14:paraId="4AB06025">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151" w:type="dxa"/>
            <w:vAlign w:val="center"/>
          </w:tcPr>
          <w:p w14:paraId="52E31A0C">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181" w:type="dxa"/>
            <w:vAlign w:val="center"/>
          </w:tcPr>
          <w:p w14:paraId="6756E4B9">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410" w:type="dxa"/>
            <w:vAlign w:val="center"/>
          </w:tcPr>
          <w:p w14:paraId="6E22E774">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50</w:t>
            </w:r>
          </w:p>
        </w:tc>
      </w:tr>
      <w:tr w14:paraId="5C440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Align w:val="center"/>
          </w:tcPr>
          <w:p w14:paraId="07D1705B">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 xml:space="preserve">B </w:t>
            </w:r>
            <w:r>
              <w:rPr>
                <w:rFonts w:hint="eastAsia" w:ascii="仿宋_GB2312" w:hAnsi="仿宋" w:eastAsia="仿宋_GB2312" w:cs="宋体"/>
                <w:kern w:val="0"/>
                <w:sz w:val="24"/>
                <w:szCs w:val="24"/>
              </w:rPr>
              <w:t>类</w:t>
            </w:r>
          </w:p>
        </w:tc>
        <w:tc>
          <w:tcPr>
            <w:tcW w:w="1438" w:type="dxa"/>
            <w:vAlign w:val="center"/>
          </w:tcPr>
          <w:p w14:paraId="47154299">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523" w:type="dxa"/>
            <w:vAlign w:val="center"/>
          </w:tcPr>
          <w:p w14:paraId="789CA7BF">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354" w:type="dxa"/>
            <w:vAlign w:val="center"/>
          </w:tcPr>
          <w:p w14:paraId="4B1513D9">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151" w:type="dxa"/>
            <w:vAlign w:val="center"/>
          </w:tcPr>
          <w:p w14:paraId="7F31AF2F">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500</w:t>
            </w:r>
          </w:p>
        </w:tc>
        <w:tc>
          <w:tcPr>
            <w:tcW w:w="1181" w:type="dxa"/>
            <w:vAlign w:val="center"/>
          </w:tcPr>
          <w:p w14:paraId="22E3202F">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200</w:t>
            </w:r>
          </w:p>
        </w:tc>
        <w:tc>
          <w:tcPr>
            <w:tcW w:w="1410" w:type="dxa"/>
            <w:vAlign w:val="center"/>
          </w:tcPr>
          <w:p w14:paraId="3F52614F">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10-30</w:t>
            </w:r>
          </w:p>
        </w:tc>
      </w:tr>
      <w:tr w14:paraId="531F9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Align w:val="center"/>
          </w:tcPr>
          <w:p w14:paraId="1C602940">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 xml:space="preserve">C </w:t>
            </w:r>
            <w:r>
              <w:rPr>
                <w:rFonts w:hint="eastAsia" w:ascii="仿宋_GB2312" w:hAnsi="仿宋" w:eastAsia="仿宋_GB2312" w:cs="宋体"/>
                <w:kern w:val="0"/>
                <w:sz w:val="24"/>
                <w:szCs w:val="24"/>
              </w:rPr>
              <w:t>类</w:t>
            </w:r>
          </w:p>
        </w:tc>
        <w:tc>
          <w:tcPr>
            <w:tcW w:w="1438" w:type="dxa"/>
            <w:vAlign w:val="center"/>
          </w:tcPr>
          <w:p w14:paraId="6034381E">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523" w:type="dxa"/>
            <w:vAlign w:val="center"/>
          </w:tcPr>
          <w:p w14:paraId="42E67AD7">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354" w:type="dxa"/>
            <w:vAlign w:val="center"/>
          </w:tcPr>
          <w:p w14:paraId="38D8C820">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151" w:type="dxa"/>
            <w:vAlign w:val="center"/>
          </w:tcPr>
          <w:p w14:paraId="3BBBB433">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300</w:t>
            </w:r>
          </w:p>
        </w:tc>
        <w:tc>
          <w:tcPr>
            <w:tcW w:w="1181" w:type="dxa"/>
            <w:vAlign w:val="center"/>
          </w:tcPr>
          <w:p w14:paraId="004D6159">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100</w:t>
            </w:r>
          </w:p>
        </w:tc>
        <w:tc>
          <w:tcPr>
            <w:tcW w:w="1410" w:type="dxa"/>
            <w:vAlign w:val="center"/>
          </w:tcPr>
          <w:p w14:paraId="6D12143B">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6-10</w:t>
            </w:r>
          </w:p>
        </w:tc>
      </w:tr>
      <w:tr w14:paraId="3D25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Align w:val="center"/>
          </w:tcPr>
          <w:p w14:paraId="31DC815B">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 xml:space="preserve">D </w:t>
            </w:r>
            <w:r>
              <w:rPr>
                <w:rFonts w:hint="eastAsia" w:ascii="仿宋_GB2312" w:hAnsi="仿宋" w:eastAsia="仿宋_GB2312" w:cs="宋体"/>
                <w:kern w:val="0"/>
                <w:sz w:val="24"/>
                <w:szCs w:val="24"/>
              </w:rPr>
              <w:t>类</w:t>
            </w:r>
          </w:p>
        </w:tc>
        <w:tc>
          <w:tcPr>
            <w:tcW w:w="1438" w:type="dxa"/>
            <w:vAlign w:val="center"/>
          </w:tcPr>
          <w:p w14:paraId="2CB1BADB">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面议</w:t>
            </w:r>
          </w:p>
        </w:tc>
        <w:tc>
          <w:tcPr>
            <w:tcW w:w="1523" w:type="dxa"/>
            <w:vAlign w:val="center"/>
          </w:tcPr>
          <w:p w14:paraId="2D6307B8">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90-120</w:t>
            </w:r>
          </w:p>
        </w:tc>
        <w:tc>
          <w:tcPr>
            <w:tcW w:w="1354" w:type="dxa"/>
            <w:vAlign w:val="center"/>
          </w:tcPr>
          <w:p w14:paraId="0E43A55F">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60-150</w:t>
            </w:r>
          </w:p>
        </w:tc>
        <w:tc>
          <w:tcPr>
            <w:tcW w:w="1151" w:type="dxa"/>
            <w:vAlign w:val="center"/>
          </w:tcPr>
          <w:p w14:paraId="7AF9E90B">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100</w:t>
            </w:r>
          </w:p>
        </w:tc>
        <w:tc>
          <w:tcPr>
            <w:tcW w:w="1181" w:type="dxa"/>
            <w:vAlign w:val="center"/>
          </w:tcPr>
          <w:p w14:paraId="1C0E2E28">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50</w:t>
            </w:r>
          </w:p>
        </w:tc>
        <w:tc>
          <w:tcPr>
            <w:tcW w:w="1410" w:type="dxa"/>
            <w:vAlign w:val="center"/>
          </w:tcPr>
          <w:p w14:paraId="550850DB">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2-6</w:t>
            </w:r>
          </w:p>
        </w:tc>
      </w:tr>
      <w:tr w14:paraId="79FF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Align w:val="center"/>
          </w:tcPr>
          <w:p w14:paraId="6DA63A62">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 xml:space="preserve">E </w:t>
            </w:r>
            <w:r>
              <w:rPr>
                <w:rFonts w:hint="eastAsia" w:ascii="仿宋_GB2312" w:hAnsi="仿宋" w:eastAsia="仿宋_GB2312" w:cs="宋体"/>
                <w:kern w:val="0"/>
                <w:sz w:val="24"/>
                <w:szCs w:val="24"/>
              </w:rPr>
              <w:t>类</w:t>
            </w:r>
          </w:p>
        </w:tc>
        <w:tc>
          <w:tcPr>
            <w:tcW w:w="1438" w:type="dxa"/>
            <w:vAlign w:val="center"/>
          </w:tcPr>
          <w:p w14:paraId="0F19CCFE">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按岗聘</w:t>
            </w:r>
          </w:p>
        </w:tc>
        <w:tc>
          <w:tcPr>
            <w:tcW w:w="1523" w:type="dxa"/>
            <w:vAlign w:val="center"/>
          </w:tcPr>
          <w:p w14:paraId="0966B8E3">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60</w:t>
            </w:r>
          </w:p>
        </w:tc>
        <w:tc>
          <w:tcPr>
            <w:tcW w:w="1354" w:type="dxa"/>
            <w:vAlign w:val="center"/>
          </w:tcPr>
          <w:p w14:paraId="6576B9AA">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60-140</w:t>
            </w:r>
          </w:p>
        </w:tc>
        <w:tc>
          <w:tcPr>
            <w:tcW w:w="1151" w:type="dxa"/>
            <w:vAlign w:val="center"/>
          </w:tcPr>
          <w:p w14:paraId="502540A7">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30</w:t>
            </w:r>
            <w:r>
              <w:rPr>
                <w:rFonts w:hint="eastAsia" w:ascii="仿宋_GB2312" w:hAnsi="仿宋" w:eastAsia="仿宋_GB2312" w:cs="宋体"/>
                <w:kern w:val="0"/>
                <w:sz w:val="24"/>
                <w:szCs w:val="24"/>
              </w:rPr>
              <w:t>-90</w:t>
            </w:r>
          </w:p>
        </w:tc>
        <w:tc>
          <w:tcPr>
            <w:tcW w:w="1181" w:type="dxa"/>
            <w:vAlign w:val="center"/>
          </w:tcPr>
          <w:p w14:paraId="08BCEE57">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15</w:t>
            </w:r>
            <w:r>
              <w:rPr>
                <w:rFonts w:hint="eastAsia" w:ascii="仿宋_GB2312" w:hAnsi="仿宋" w:eastAsia="仿宋_GB2312" w:cs="宋体"/>
                <w:kern w:val="0"/>
                <w:sz w:val="24"/>
                <w:szCs w:val="24"/>
              </w:rPr>
              <w:t>-45</w:t>
            </w:r>
          </w:p>
        </w:tc>
        <w:tc>
          <w:tcPr>
            <w:tcW w:w="1410" w:type="dxa"/>
            <w:vAlign w:val="center"/>
          </w:tcPr>
          <w:p w14:paraId="4A81BD7B">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2</w:t>
            </w:r>
          </w:p>
        </w:tc>
      </w:tr>
      <w:tr w14:paraId="0CD0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exact"/>
        </w:trPr>
        <w:tc>
          <w:tcPr>
            <w:tcW w:w="1013" w:type="dxa"/>
            <w:vAlign w:val="center"/>
          </w:tcPr>
          <w:p w14:paraId="501F5E7B">
            <w:pPr>
              <w:spacing w:line="400" w:lineRule="exact"/>
              <w:jc w:val="center"/>
              <w:rPr>
                <w:rFonts w:ascii="仿宋_GB2312" w:hAnsi="仿宋" w:eastAsia="仿宋_GB2312" w:cs="宋体"/>
                <w:kern w:val="0"/>
                <w:sz w:val="24"/>
                <w:szCs w:val="24"/>
              </w:rPr>
            </w:pPr>
            <w:r>
              <w:rPr>
                <w:rFonts w:ascii="仿宋_GB2312" w:hAnsi="仿宋" w:eastAsia="仿宋_GB2312" w:cs="宋体"/>
                <w:kern w:val="0"/>
                <w:sz w:val="24"/>
                <w:szCs w:val="24"/>
              </w:rPr>
              <w:t xml:space="preserve">F </w:t>
            </w:r>
            <w:r>
              <w:rPr>
                <w:rFonts w:hint="eastAsia" w:ascii="仿宋_GB2312" w:hAnsi="仿宋" w:eastAsia="仿宋_GB2312" w:cs="宋体"/>
                <w:kern w:val="0"/>
                <w:sz w:val="24"/>
                <w:szCs w:val="24"/>
              </w:rPr>
              <w:t>类</w:t>
            </w:r>
          </w:p>
        </w:tc>
        <w:tc>
          <w:tcPr>
            <w:tcW w:w="1438" w:type="dxa"/>
            <w:vAlign w:val="center"/>
          </w:tcPr>
          <w:p w14:paraId="36DCA34A">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按岗聘</w:t>
            </w:r>
          </w:p>
        </w:tc>
        <w:tc>
          <w:tcPr>
            <w:tcW w:w="1523" w:type="dxa"/>
            <w:vAlign w:val="center"/>
          </w:tcPr>
          <w:p w14:paraId="42EB7BC4">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60</w:t>
            </w:r>
          </w:p>
        </w:tc>
        <w:tc>
          <w:tcPr>
            <w:tcW w:w="1354" w:type="dxa"/>
            <w:vAlign w:val="center"/>
          </w:tcPr>
          <w:p w14:paraId="692CC64B">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40-100</w:t>
            </w:r>
          </w:p>
        </w:tc>
        <w:tc>
          <w:tcPr>
            <w:tcW w:w="1151" w:type="dxa"/>
            <w:vAlign w:val="center"/>
          </w:tcPr>
          <w:p w14:paraId="794B5C65">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10</w:t>
            </w:r>
          </w:p>
        </w:tc>
        <w:tc>
          <w:tcPr>
            <w:tcW w:w="1181" w:type="dxa"/>
            <w:vAlign w:val="center"/>
          </w:tcPr>
          <w:p w14:paraId="2AC29A55">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5</w:t>
            </w:r>
          </w:p>
        </w:tc>
        <w:tc>
          <w:tcPr>
            <w:tcW w:w="1410" w:type="dxa"/>
            <w:vAlign w:val="center"/>
          </w:tcPr>
          <w:p w14:paraId="4965241D">
            <w:pPr>
              <w:spacing w:line="400" w:lineRule="exact"/>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2</w:t>
            </w:r>
          </w:p>
        </w:tc>
      </w:tr>
    </w:tbl>
    <w:p w14:paraId="14404315">
      <w:pPr>
        <w:pStyle w:val="5"/>
        <w:overflowPunct w:val="0"/>
        <w:spacing w:line="400" w:lineRule="exact"/>
        <w:ind w:left="126" w:leftChars="60" w:firstLine="354" w:firstLineChars="147"/>
        <w:rPr>
          <w:rFonts w:ascii="仿宋_GB2312" w:hAnsi="仿宋" w:eastAsia="仿宋_GB2312" w:cs="宋体"/>
        </w:rPr>
      </w:pPr>
      <w:r>
        <w:rPr>
          <w:rFonts w:hint="eastAsia" w:ascii="仿宋_GB2312" w:hAnsi="仿宋" w:eastAsia="仿宋_GB2312" w:cs="宋体"/>
          <w:b/>
        </w:rPr>
        <w:t>注</w:t>
      </w:r>
      <w:r>
        <w:rPr>
          <w:rFonts w:hint="eastAsia" w:ascii="仿宋_GB2312" w:hAnsi="仿宋" w:eastAsia="仿宋_GB2312" w:cs="宋体"/>
        </w:rPr>
        <w:t>：人才津贴按照衢州市相关人才政策执行。</w:t>
      </w:r>
    </w:p>
    <w:p w14:paraId="15286D77">
      <w:pPr>
        <w:pStyle w:val="5"/>
        <w:overflowPunct w:val="0"/>
        <w:spacing w:line="400" w:lineRule="exact"/>
        <w:ind w:left="0" w:firstLine="480" w:firstLineChars="200"/>
        <w:rPr>
          <w:rFonts w:ascii="仿宋_GB2312" w:hAnsi="仿宋" w:eastAsia="仿宋_GB2312" w:cs="宋体"/>
        </w:rPr>
      </w:pPr>
      <w:r>
        <w:rPr>
          <w:rFonts w:hint="eastAsia" w:ascii="仿宋_GB2312" w:hAnsi="仿宋" w:eastAsia="仿宋_GB2312" w:cs="宋体"/>
        </w:rPr>
        <w:t>业绩特别突出，但不具备正高专业技术职务，经学校会议研究可按E类引进，购房补助面积、安家补助、科研启动费按E类待遇，</w:t>
      </w:r>
      <w:bookmarkStart w:id="0" w:name="_Hlk128407042"/>
      <w:r>
        <w:rPr>
          <w:rFonts w:hint="eastAsia" w:ascii="仿宋_GB2312" w:hAnsi="仿宋" w:eastAsia="仿宋_GB2312" w:cs="宋体"/>
        </w:rPr>
        <w:t>薪酬按其实际所聘岗位等级发放</w:t>
      </w:r>
      <w:bookmarkEnd w:id="0"/>
      <w:r>
        <w:rPr>
          <w:rFonts w:hint="eastAsia" w:ascii="仿宋_GB2312" w:hAnsi="仿宋" w:eastAsia="仿宋_GB2312" w:cs="宋体"/>
        </w:rPr>
        <w:t>。</w:t>
      </w:r>
    </w:p>
    <w:p w14:paraId="152066FA">
      <w:pPr>
        <w:pStyle w:val="5"/>
        <w:overflowPunct w:val="0"/>
        <w:spacing w:line="400" w:lineRule="exact"/>
        <w:ind w:left="0" w:firstLine="480" w:firstLineChars="200"/>
        <w:rPr>
          <w:rFonts w:ascii="仿宋_GB2312" w:eastAsia="仿宋_GB2312"/>
          <w:b/>
        </w:rPr>
      </w:pPr>
      <w:r>
        <w:rPr>
          <w:rFonts w:hint="eastAsia" w:ascii="仿宋_GB2312" w:hAnsi="仿宋" w:eastAsia="仿宋_GB2312" w:cs="宋体"/>
        </w:rPr>
        <w:t>购房补助面积折算成人民币金额，按购房时间所在半年度市房管部门统计的市区新建商品住宅均价计,具体根据衢州市相关文件执行。</w:t>
      </w:r>
    </w:p>
    <w:p w14:paraId="0690C3D1">
      <w:pPr>
        <w:pStyle w:val="5"/>
        <w:overflowPunct w:val="0"/>
        <w:spacing w:line="400" w:lineRule="exact"/>
        <w:ind w:left="0" w:firstLine="482" w:firstLineChars="200"/>
        <w:rPr>
          <w:rFonts w:ascii="仿宋_GB2312" w:eastAsia="仿宋_GB2312"/>
          <w:b/>
        </w:rPr>
      </w:pPr>
      <w:r>
        <w:rPr>
          <w:rFonts w:hint="eastAsia" w:ascii="仿宋_GB2312" w:eastAsia="仿宋_GB2312"/>
          <w:b/>
        </w:rPr>
        <w:t>（二）安家补助发放标准</w:t>
      </w:r>
    </w:p>
    <w:p w14:paraId="2C45F90C">
      <w:pPr>
        <w:spacing w:line="400" w:lineRule="exact"/>
        <w:ind w:firstLine="600" w:firstLineChars="250"/>
        <w:rPr>
          <w:rFonts w:ascii="仿宋_GB2312" w:hAnsi="仿宋" w:eastAsia="仿宋_GB2312" w:cs="宋体"/>
          <w:kern w:val="0"/>
          <w:sz w:val="24"/>
          <w:szCs w:val="24"/>
        </w:rPr>
      </w:pPr>
      <w:r>
        <w:rPr>
          <w:rFonts w:hint="eastAsia" w:ascii="仿宋_GB2312" w:hAnsi="仿宋" w:eastAsia="仿宋_GB2312" w:cs="宋体"/>
          <w:kern w:val="0"/>
          <w:sz w:val="24"/>
          <w:szCs w:val="24"/>
        </w:rPr>
        <w:t>ABCD类高层次人才：考核一事一议，安家补助发放标准根据合同进行。</w:t>
      </w:r>
    </w:p>
    <w:p w14:paraId="71D3E3F7">
      <w:pPr>
        <w:pStyle w:val="5"/>
        <w:overflowPunct w:val="0"/>
        <w:spacing w:line="400" w:lineRule="exact"/>
        <w:ind w:left="126" w:leftChars="60" w:firstLine="480" w:firstLineChars="200"/>
        <w:rPr>
          <w:rFonts w:ascii="仿宋_GB2312" w:eastAsia="仿宋_GB2312"/>
        </w:rPr>
      </w:pPr>
      <w:r>
        <w:rPr>
          <w:rFonts w:hint="eastAsia" w:ascii="仿宋_GB2312" w:hAnsi="仿宋" w:eastAsia="仿宋_GB2312" w:cs="宋体"/>
        </w:rPr>
        <w:t>EF类高层次人才：根据考核通过完成时间追加发放安家补助，标准如下表：</w:t>
      </w:r>
    </w:p>
    <w:tbl>
      <w:tblPr>
        <w:tblStyle w:val="10"/>
        <w:tblW w:w="7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9"/>
        <w:gridCol w:w="2796"/>
        <w:gridCol w:w="2477"/>
      </w:tblGrid>
      <w:tr w14:paraId="176B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49" w:type="dxa"/>
            <w:vAlign w:val="center"/>
          </w:tcPr>
          <w:p w14:paraId="32CBD415">
            <w:pPr>
              <w:pStyle w:val="5"/>
              <w:overflowPunct w:val="0"/>
              <w:ind w:left="0"/>
              <w:jc w:val="center"/>
              <w:rPr>
                <w:rFonts w:ascii="仿宋_GB2312" w:eastAsia="仿宋_GB2312"/>
              </w:rPr>
            </w:pPr>
            <w:r>
              <w:rPr>
                <w:rFonts w:hint="eastAsia" w:ascii="仿宋_GB2312" w:eastAsia="仿宋_GB2312"/>
              </w:rPr>
              <w:t>完成时间</w:t>
            </w:r>
          </w:p>
        </w:tc>
        <w:tc>
          <w:tcPr>
            <w:tcW w:w="2796" w:type="dxa"/>
            <w:vAlign w:val="center"/>
          </w:tcPr>
          <w:p w14:paraId="55AD0D4C">
            <w:pPr>
              <w:pStyle w:val="5"/>
              <w:overflowPunct w:val="0"/>
              <w:ind w:left="0"/>
              <w:jc w:val="center"/>
              <w:rPr>
                <w:rFonts w:ascii="仿宋_GB2312" w:eastAsia="仿宋_GB2312"/>
              </w:rPr>
            </w:pPr>
            <w:r>
              <w:rPr>
                <w:rFonts w:hint="eastAsia" w:ascii="仿宋_GB2312" w:eastAsia="仿宋_GB2312"/>
              </w:rPr>
              <w:t>E类追加安家补助</w:t>
            </w:r>
          </w:p>
        </w:tc>
        <w:tc>
          <w:tcPr>
            <w:tcW w:w="2477" w:type="dxa"/>
            <w:vAlign w:val="center"/>
          </w:tcPr>
          <w:p w14:paraId="160C0DB6">
            <w:pPr>
              <w:pStyle w:val="5"/>
              <w:overflowPunct w:val="0"/>
              <w:ind w:left="0"/>
              <w:jc w:val="center"/>
              <w:rPr>
                <w:rFonts w:ascii="仿宋_GB2312" w:eastAsia="仿宋_GB2312"/>
              </w:rPr>
            </w:pPr>
            <w:r>
              <w:rPr>
                <w:rFonts w:hint="eastAsia" w:ascii="仿宋_GB2312" w:eastAsia="仿宋_GB2312"/>
              </w:rPr>
              <w:t>F类追加安家补助</w:t>
            </w:r>
          </w:p>
        </w:tc>
      </w:tr>
      <w:tr w14:paraId="0A00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49" w:type="dxa"/>
            <w:vAlign w:val="center"/>
          </w:tcPr>
          <w:p w14:paraId="180E474F">
            <w:pPr>
              <w:pStyle w:val="5"/>
              <w:overflowPunct w:val="0"/>
              <w:ind w:left="0"/>
              <w:jc w:val="center"/>
              <w:rPr>
                <w:rFonts w:ascii="仿宋_GB2312" w:eastAsia="仿宋_GB2312"/>
              </w:rPr>
            </w:pPr>
            <w:r>
              <w:rPr>
                <w:rFonts w:hint="eastAsia" w:ascii="仿宋_GB2312" w:eastAsia="仿宋_GB2312"/>
              </w:rPr>
              <w:t>3年</w:t>
            </w:r>
          </w:p>
        </w:tc>
        <w:tc>
          <w:tcPr>
            <w:tcW w:w="2796" w:type="dxa"/>
            <w:vAlign w:val="center"/>
          </w:tcPr>
          <w:p w14:paraId="65D0F606">
            <w:pPr>
              <w:pStyle w:val="5"/>
              <w:overflowPunct w:val="0"/>
              <w:ind w:left="0"/>
              <w:jc w:val="center"/>
              <w:rPr>
                <w:rFonts w:ascii="仿宋_GB2312" w:eastAsia="仿宋_GB2312"/>
              </w:rPr>
            </w:pPr>
            <w:r>
              <w:rPr>
                <w:rFonts w:hint="eastAsia" w:ascii="仿宋_GB2312" w:eastAsia="仿宋_GB2312"/>
              </w:rPr>
              <w:t>10万元</w:t>
            </w:r>
          </w:p>
        </w:tc>
        <w:tc>
          <w:tcPr>
            <w:tcW w:w="2477" w:type="dxa"/>
            <w:vAlign w:val="center"/>
          </w:tcPr>
          <w:p w14:paraId="47E289EC">
            <w:pPr>
              <w:pStyle w:val="5"/>
              <w:overflowPunct w:val="0"/>
              <w:ind w:left="0"/>
              <w:jc w:val="center"/>
              <w:rPr>
                <w:rFonts w:ascii="仿宋_GB2312" w:eastAsia="仿宋_GB2312"/>
              </w:rPr>
            </w:pPr>
            <w:r>
              <w:rPr>
                <w:rFonts w:hint="eastAsia" w:ascii="仿宋_GB2312" w:eastAsia="仿宋_GB2312"/>
              </w:rPr>
              <w:t>10万元</w:t>
            </w:r>
          </w:p>
        </w:tc>
      </w:tr>
      <w:tr w14:paraId="43DC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49" w:type="dxa"/>
            <w:vAlign w:val="center"/>
          </w:tcPr>
          <w:p w14:paraId="76B22AF2">
            <w:pPr>
              <w:pStyle w:val="5"/>
              <w:overflowPunct w:val="0"/>
              <w:ind w:left="0"/>
              <w:jc w:val="center"/>
              <w:rPr>
                <w:rFonts w:ascii="仿宋_GB2312" w:eastAsia="仿宋_GB2312"/>
              </w:rPr>
            </w:pPr>
            <w:r>
              <w:rPr>
                <w:rFonts w:hint="eastAsia" w:ascii="仿宋_GB2312" w:eastAsia="仿宋_GB2312"/>
              </w:rPr>
              <w:t>2年</w:t>
            </w:r>
          </w:p>
        </w:tc>
        <w:tc>
          <w:tcPr>
            <w:tcW w:w="2796" w:type="dxa"/>
            <w:vAlign w:val="center"/>
          </w:tcPr>
          <w:p w14:paraId="557C4B4A">
            <w:pPr>
              <w:pStyle w:val="5"/>
              <w:overflowPunct w:val="0"/>
              <w:ind w:left="0"/>
              <w:jc w:val="center"/>
              <w:rPr>
                <w:rFonts w:ascii="仿宋_GB2312" w:eastAsia="仿宋_GB2312"/>
              </w:rPr>
            </w:pPr>
            <w:r>
              <w:rPr>
                <w:rFonts w:hint="eastAsia" w:ascii="仿宋_GB2312" w:eastAsia="仿宋_GB2312"/>
              </w:rPr>
              <w:t>40万元</w:t>
            </w:r>
          </w:p>
        </w:tc>
        <w:tc>
          <w:tcPr>
            <w:tcW w:w="2477" w:type="dxa"/>
            <w:vAlign w:val="center"/>
          </w:tcPr>
          <w:p w14:paraId="36AC171F">
            <w:pPr>
              <w:pStyle w:val="5"/>
              <w:overflowPunct w:val="0"/>
              <w:ind w:left="0"/>
              <w:jc w:val="center"/>
              <w:rPr>
                <w:rFonts w:ascii="仿宋_GB2312" w:eastAsia="仿宋_GB2312"/>
              </w:rPr>
            </w:pPr>
            <w:r>
              <w:rPr>
                <w:rFonts w:hint="eastAsia" w:ascii="仿宋_GB2312" w:eastAsia="仿宋_GB2312"/>
              </w:rPr>
              <w:t>30万元</w:t>
            </w:r>
          </w:p>
        </w:tc>
      </w:tr>
      <w:tr w14:paraId="77BA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49" w:type="dxa"/>
            <w:vAlign w:val="center"/>
          </w:tcPr>
          <w:p w14:paraId="5F29524E">
            <w:pPr>
              <w:pStyle w:val="5"/>
              <w:overflowPunct w:val="0"/>
              <w:ind w:left="0"/>
              <w:jc w:val="center"/>
              <w:rPr>
                <w:rFonts w:ascii="仿宋_GB2312" w:eastAsia="仿宋_GB2312"/>
              </w:rPr>
            </w:pPr>
            <w:r>
              <w:rPr>
                <w:rFonts w:hint="eastAsia" w:ascii="仿宋_GB2312" w:eastAsia="仿宋_GB2312"/>
              </w:rPr>
              <w:t>1年</w:t>
            </w:r>
          </w:p>
        </w:tc>
        <w:tc>
          <w:tcPr>
            <w:tcW w:w="2796" w:type="dxa"/>
            <w:vAlign w:val="center"/>
          </w:tcPr>
          <w:p w14:paraId="394D1D0F">
            <w:pPr>
              <w:pStyle w:val="5"/>
              <w:overflowPunct w:val="0"/>
              <w:ind w:left="0"/>
              <w:jc w:val="center"/>
              <w:rPr>
                <w:rFonts w:ascii="仿宋_GB2312" w:eastAsia="仿宋_GB2312"/>
              </w:rPr>
            </w:pPr>
            <w:r>
              <w:rPr>
                <w:rFonts w:hint="eastAsia" w:ascii="仿宋_GB2312" w:eastAsia="仿宋_GB2312"/>
              </w:rPr>
              <w:t>80万元</w:t>
            </w:r>
          </w:p>
        </w:tc>
        <w:tc>
          <w:tcPr>
            <w:tcW w:w="2477" w:type="dxa"/>
            <w:vAlign w:val="center"/>
          </w:tcPr>
          <w:p w14:paraId="14BAF782">
            <w:pPr>
              <w:pStyle w:val="5"/>
              <w:overflowPunct w:val="0"/>
              <w:ind w:left="0"/>
              <w:jc w:val="center"/>
              <w:rPr>
                <w:rFonts w:ascii="仿宋_GB2312" w:eastAsia="仿宋_GB2312"/>
              </w:rPr>
            </w:pPr>
            <w:r>
              <w:rPr>
                <w:rFonts w:hint="eastAsia" w:ascii="仿宋_GB2312" w:eastAsia="仿宋_GB2312"/>
              </w:rPr>
              <w:t>60万元</w:t>
            </w:r>
          </w:p>
        </w:tc>
      </w:tr>
    </w:tbl>
    <w:p w14:paraId="783BB2D3">
      <w:pPr>
        <w:pStyle w:val="5"/>
        <w:overflowPunct w:val="0"/>
        <w:spacing w:line="400" w:lineRule="exact"/>
        <w:ind w:left="0" w:firstLine="482" w:firstLineChars="200"/>
        <w:rPr>
          <w:rFonts w:ascii="仿宋_GB2312" w:eastAsia="仿宋_GB2312"/>
          <w:b/>
        </w:rPr>
      </w:pPr>
      <w:r>
        <w:rPr>
          <w:rFonts w:hint="eastAsia" w:ascii="仿宋_GB2312" w:eastAsia="仿宋_GB2312"/>
          <w:b/>
        </w:rPr>
        <w:t>（三）其他</w:t>
      </w:r>
    </w:p>
    <w:p w14:paraId="26232682">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1）学校为高层次人才免费提供人才公寓或青年教师公寓，使用期限2年。若遇公寓紧缺，则提供2年的租房补贴，AB类人才根据需要据实报销，C类人才3000元/月，D类人才2500元/月，E类人才2000元/月，F类人才1500元/月。</w:t>
      </w:r>
    </w:p>
    <w:p w14:paraId="22798D59">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（2）学校协助引进高层次人才子女的入学或转学等有关事宜（优先考虑衢州市实验学校教育集团（衢州学院附属学校））。</w:t>
      </w:r>
      <w:r>
        <w:rPr>
          <w:rFonts w:ascii="仿宋_GB2312" w:hAnsi="仿宋" w:eastAsia="仿宋_GB2312" w:cs="宋体"/>
          <w:kern w:val="0"/>
          <w:sz w:val="24"/>
          <w:szCs w:val="24"/>
        </w:rPr>
        <w:t xml:space="preserve"> </w:t>
      </w:r>
    </w:p>
    <w:p w14:paraId="76F023AF">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（3）夫妻双方均属引进对象的，由学校支付的安家补助和租房补贴在享受较高待遇一方的引进政策外，另一方根据引进政策，享受一半的待遇。</w:t>
      </w:r>
    </w:p>
    <w:p w14:paraId="58866A13">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（4）学校按规定给予应邀来校面试的人才报销一趟来回差旅费用。</w:t>
      </w:r>
    </w:p>
    <w:p w14:paraId="3BD7C001">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（5）特殊人才及以整个团队引进的政策待遇，可采取协商的办法研究确定。</w:t>
      </w:r>
    </w:p>
    <w:p w14:paraId="39E1011C">
      <w:pPr>
        <w:spacing w:line="400" w:lineRule="exact"/>
        <w:ind w:firstLine="480" w:firstLineChars="200"/>
        <w:rPr>
          <w:rFonts w:ascii="仿宋_GB2312" w:hAnsi="仿宋" w:eastAsia="仿宋_GB2312" w:cs="宋体"/>
          <w:kern w:val="0"/>
          <w:sz w:val="24"/>
          <w:szCs w:val="24"/>
        </w:rPr>
      </w:pPr>
      <w:r>
        <w:rPr>
          <w:rFonts w:hint="eastAsia" w:ascii="仿宋_GB2312" w:hAnsi="仿宋" w:eastAsia="仿宋_GB2312" w:cs="宋体"/>
          <w:kern w:val="0"/>
          <w:sz w:val="24"/>
          <w:szCs w:val="24"/>
        </w:rPr>
        <w:t>（6）特别优秀的人才，经学校研究，可享受教授或副教授的奖励性绩效津贴。</w:t>
      </w:r>
    </w:p>
    <w:p w14:paraId="6DAE2369">
      <w:pPr>
        <w:spacing w:line="400" w:lineRule="exact"/>
        <w:ind w:firstLine="480" w:firstLineChars="200"/>
        <w:rPr>
          <w:rFonts w:ascii="仿宋_GB2312" w:eastAsia="仿宋_GB2312"/>
        </w:rPr>
      </w:pPr>
      <w:r>
        <w:rPr>
          <w:rFonts w:hint="eastAsia" w:ascii="仿宋_GB2312" w:hAnsi="仿宋" w:eastAsia="仿宋_GB2312" w:cs="宋体"/>
          <w:kern w:val="0"/>
          <w:sz w:val="24"/>
          <w:szCs w:val="24"/>
        </w:rPr>
        <w:t>（7）录用人员须与学校签订相关协议合同，具体参照学校文件执行。</w:t>
      </w:r>
    </w:p>
    <w:p w14:paraId="6C8D360D">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五、招聘程序及要求</w:t>
      </w:r>
    </w:p>
    <w:p w14:paraId="304633A9">
      <w:pPr>
        <w:spacing w:line="400" w:lineRule="exact"/>
        <w:ind w:firstLine="480" w:firstLineChars="200"/>
        <w:rPr>
          <w:rFonts w:ascii="仿宋_GB2312" w:eastAsia="仿宋_GB2312"/>
          <w:spacing w:val="-2"/>
        </w:rPr>
      </w:pPr>
      <w:r>
        <w:rPr>
          <w:rFonts w:hint="eastAsia" w:ascii="仿宋_GB2312" w:hAnsi="仿宋" w:eastAsia="仿宋_GB2312" w:cs="宋体"/>
          <w:kern w:val="0"/>
          <w:sz w:val="24"/>
          <w:szCs w:val="24"/>
        </w:rPr>
        <w:t>本次引进工作按公布招聘信息、应聘及资格审查、面试面谈、考核</w:t>
      </w:r>
      <w:r>
        <w:rPr>
          <w:rFonts w:ascii="仿宋_GB2312" w:hAnsi="仿宋" w:eastAsia="仿宋_GB2312" w:cs="宋体"/>
          <w:kern w:val="0"/>
          <w:sz w:val="24"/>
          <w:szCs w:val="24"/>
        </w:rPr>
        <w:t>、</w:t>
      </w:r>
      <w:r>
        <w:rPr>
          <w:rFonts w:hint="eastAsia" w:ascii="仿宋_GB2312" w:hAnsi="仿宋" w:eastAsia="仿宋_GB2312" w:cs="宋体"/>
          <w:kern w:val="0"/>
          <w:sz w:val="24"/>
          <w:szCs w:val="24"/>
        </w:rPr>
        <w:t>体检、学校研究、公示、核准聘用等程序进行。</w:t>
      </w:r>
    </w:p>
    <w:p w14:paraId="6ACA68D0">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（一）公布招聘信息</w:t>
      </w:r>
    </w:p>
    <w:p w14:paraId="79918DE1">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通过衢州学院官网、各类人才招聘信息网、省市政府组织的人才招聘会等渠道公开发布招聘信息。</w:t>
      </w:r>
    </w:p>
    <w:p w14:paraId="30FA7CB2">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（二）应聘及资格审查</w:t>
      </w:r>
    </w:p>
    <w:p w14:paraId="41DD128B">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应聘人员填写《衢州学院应聘人员信息表》（详见附件），连同个人简历及相关佐证材料（需 PDF格式），国（境）外高校的毕业生应提供</w:t>
      </w:r>
      <w:r>
        <w:rPr>
          <w:rFonts w:ascii="仿宋_GB2312" w:eastAsia="仿宋_GB2312"/>
          <w:spacing w:val="-2"/>
        </w:rPr>
        <w:t>教育部留学服务中心国</w:t>
      </w:r>
      <w:r>
        <w:rPr>
          <w:rFonts w:hint="eastAsia" w:ascii="仿宋_GB2312" w:eastAsia="仿宋_GB2312"/>
          <w:spacing w:val="-2"/>
        </w:rPr>
        <w:t>（</w:t>
      </w:r>
      <w:r>
        <w:rPr>
          <w:rFonts w:ascii="仿宋_GB2312" w:eastAsia="仿宋_GB2312"/>
          <w:spacing w:val="-2"/>
        </w:rPr>
        <w:t>境</w:t>
      </w:r>
      <w:r>
        <w:rPr>
          <w:rFonts w:hint="eastAsia" w:ascii="仿宋_GB2312" w:eastAsia="仿宋_GB2312"/>
          <w:spacing w:val="-2"/>
        </w:rPr>
        <w:t>）</w:t>
      </w:r>
      <w:r>
        <w:rPr>
          <w:rFonts w:ascii="仿宋_GB2312" w:eastAsia="仿宋_GB2312"/>
          <w:spacing w:val="-2"/>
        </w:rPr>
        <w:t>外学历学位认证</w:t>
      </w:r>
      <w:r>
        <w:rPr>
          <w:rFonts w:hint="eastAsia" w:ascii="仿宋_GB2312" w:eastAsia="仿宋_GB2312"/>
          <w:spacing w:val="-2"/>
        </w:rPr>
        <w:t>书。</w:t>
      </w:r>
      <w:r>
        <w:rPr>
          <w:rFonts w:hint="eastAsia" w:ascii="仿宋_GB2312" w:eastAsia="仿宋_GB2312"/>
          <w:b/>
          <w:spacing w:val="-2"/>
        </w:rPr>
        <w:t>文件名以“应聘学院+姓名”命名发送至人事处和相应二级学院邮箱各1份</w:t>
      </w:r>
      <w:r>
        <w:rPr>
          <w:rFonts w:hint="eastAsia" w:ascii="仿宋_GB2312" w:eastAsia="仿宋_GB2312"/>
          <w:spacing w:val="-2"/>
        </w:rPr>
        <w:t>（详见联系方式）。</w:t>
      </w:r>
    </w:p>
    <w:p w14:paraId="7384CFF1">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招聘岗位所属学院（部）对应聘人员个人求职申请及佐证材料进行初审，人事处对应聘人员的资格进行审查，A、B、C、D、E、F类、人才团队通过后按照1:1比例确定入围面试面谈，硕士研究生通过后按照不低于1:3比例入围面试。根据我校体育人才紧缺的实际，优秀运动员岗位可不受招考比例限制，经资格审查，符合条件的报名人员可直接确定为面试面谈对象。</w:t>
      </w:r>
    </w:p>
    <w:p w14:paraId="218E8C77">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（三）面试面谈</w:t>
      </w:r>
    </w:p>
    <w:p w14:paraId="274DD05B">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面试面谈一般采取试讲、提问交流方式进行，具体形式和时间另行通知。考官通过试讲、提问交流等方式对应聘人员是否具备岗位所需的专业知识、研究方向、教育教学能力、科研水平、实践技能等进行全面考核。面试面谈形式可根据工作需要采取现场方式或网络视频方式开展。面试面谈成绩满分为</w:t>
      </w:r>
      <w:r>
        <w:rPr>
          <w:rFonts w:ascii="仿宋_GB2312" w:eastAsia="仿宋_GB2312"/>
          <w:spacing w:val="-2"/>
        </w:rPr>
        <w:t>100</w:t>
      </w:r>
      <w:r>
        <w:rPr>
          <w:rFonts w:hint="eastAsia" w:ascii="仿宋_GB2312" w:eastAsia="仿宋_GB2312"/>
          <w:spacing w:val="-2"/>
        </w:rPr>
        <w:t>分，合格分为</w:t>
      </w:r>
      <w:r>
        <w:rPr>
          <w:rFonts w:ascii="仿宋_GB2312" w:eastAsia="仿宋_GB2312"/>
          <w:spacing w:val="-2"/>
        </w:rPr>
        <w:t>70</w:t>
      </w:r>
      <w:r>
        <w:rPr>
          <w:rFonts w:hint="eastAsia" w:ascii="仿宋_GB2312" w:eastAsia="仿宋_GB2312"/>
          <w:spacing w:val="-2"/>
        </w:rPr>
        <w:t>分。面试面谈不合格者，不列入体检、考核。</w:t>
      </w:r>
    </w:p>
    <w:p w14:paraId="12366FFD">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（四）考核</w:t>
      </w:r>
    </w:p>
    <w:p w14:paraId="724F91A2">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面试面谈结束后，根据岗位需求数，根据专家组意见确定考核对象，考核标准参照《公务员录用考察办法（试行）》（中组发〔2021〕11号）及衢委办〔2007〕90号等文件要求，结合我校招聘的基本条件和我校招聘岗位要求的具体条件和标准执行。</w:t>
      </w:r>
    </w:p>
    <w:p w14:paraId="7898A3FA">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（五）体检</w:t>
      </w:r>
    </w:p>
    <w:p w14:paraId="6E10F223">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考核结束后，考核合格人员入围体检，体检工作参照《关于修订〈公务员录用体检通用标准（试行）〉及〈公务员录用体检操作手册（试行）〉有关内容的通知》（人社部发〔2016〕140号）、《关于印发&lt;公务员录用体检特殊标准（试行）&gt;的通知》（人社部发〔2010〕82号）和《关于进一步做好公务员考试录用体检工作的通知》（人社部发〔2012〕65号）等文件规定执行。行业有特殊体检标准的，按行业标准执行。报考人员不按规定的时间、地点参加体检的，视作放弃体检。放弃体检或体检不合格、放弃考核或考核结论为不宜聘用的，可在同岗位面试面谈成绩合格人选中按成绩由高到底等额依次递补，若无可递补人选则终止递补。</w:t>
      </w:r>
    </w:p>
    <w:p w14:paraId="3A980BCA">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（六）学校研究</w:t>
      </w:r>
    </w:p>
    <w:p w14:paraId="10C7D826">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考核、体检合格人员，提交学校校长办公会议、党委会研究确定拟聘人员。</w:t>
      </w:r>
    </w:p>
    <w:p w14:paraId="5E918D6C">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（七）公示</w:t>
      </w:r>
    </w:p>
    <w:p w14:paraId="4AB1122F">
      <w:pPr>
        <w:pStyle w:val="5"/>
        <w:overflowPunct w:val="0"/>
        <w:spacing w:line="400" w:lineRule="exact"/>
        <w:ind w:left="126" w:leftChars="60" w:firstLine="472" w:firstLineChars="200"/>
        <w:rPr>
          <w:rFonts w:ascii="仿宋_GB2312" w:eastAsia="仿宋_GB2312"/>
          <w:spacing w:val="-2"/>
        </w:rPr>
      </w:pPr>
      <w:r>
        <w:rPr>
          <w:rFonts w:hint="eastAsia" w:ascii="仿宋_GB2312" w:eastAsia="仿宋_GB2312"/>
          <w:spacing w:val="-2"/>
        </w:rPr>
        <w:t>在衢州学院官网对拟聘人员进行公示，公示时间不少于7个工作日。</w:t>
      </w:r>
    </w:p>
    <w:p w14:paraId="5CB46D61">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（八）核准</w:t>
      </w:r>
      <w:r>
        <w:rPr>
          <w:rFonts w:ascii="仿宋_GB2312" w:eastAsia="仿宋_GB2312"/>
          <w:b/>
          <w:spacing w:val="-2"/>
        </w:rPr>
        <w:t>聘用</w:t>
      </w:r>
    </w:p>
    <w:p w14:paraId="15169E8C">
      <w:pPr>
        <w:pStyle w:val="5"/>
        <w:overflowPunct w:val="0"/>
        <w:spacing w:line="400" w:lineRule="exact"/>
        <w:ind w:left="126" w:leftChars="60" w:firstLine="472" w:firstLineChars="200"/>
        <w:jc w:val="both"/>
        <w:rPr>
          <w:rFonts w:ascii="仿宋_GB2312" w:eastAsia="仿宋_GB2312"/>
          <w:spacing w:val="-2"/>
        </w:rPr>
      </w:pPr>
      <w:r>
        <w:rPr>
          <w:rFonts w:hint="eastAsia" w:ascii="仿宋_GB2312" w:eastAsia="仿宋_GB2312"/>
          <w:spacing w:val="-2"/>
        </w:rPr>
        <w:t>公示期满后，对拟聘人员没有异议或反映问题经查实不影响聘用的，按规定办理聘用手续。单位法定代表人或者其委托人与受聘人员签订聘用合同，确立人事关系。原则上应在核准后1年内签订聘用合同，逾期视作自动放弃。</w:t>
      </w:r>
    </w:p>
    <w:p w14:paraId="19E525C6">
      <w:pPr>
        <w:pStyle w:val="5"/>
        <w:overflowPunct w:val="0"/>
        <w:spacing w:line="400" w:lineRule="exact"/>
        <w:ind w:left="126" w:leftChars="60" w:firstLine="472" w:firstLineChars="200"/>
        <w:jc w:val="both"/>
        <w:rPr>
          <w:rFonts w:ascii="仿宋_GB2312" w:eastAsia="仿宋_GB2312"/>
          <w:spacing w:val="-2"/>
          <w:highlight w:val="yellow"/>
        </w:rPr>
      </w:pPr>
      <w:r>
        <w:rPr>
          <w:rFonts w:hint="eastAsia" w:ascii="仿宋_GB2312" w:eastAsia="仿宋_GB2312"/>
          <w:spacing w:val="-2"/>
        </w:rPr>
        <w:t>应届毕业生须在规定时间取得学历学位证书。</w:t>
      </w:r>
    </w:p>
    <w:p w14:paraId="65246A58">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六、其他事项</w:t>
      </w:r>
    </w:p>
    <w:p w14:paraId="4283CFBD">
      <w:pPr>
        <w:pStyle w:val="5"/>
        <w:overflowPunct w:val="0"/>
        <w:spacing w:line="400" w:lineRule="exact"/>
        <w:ind w:left="0" w:firstLine="480" w:firstLineChars="200"/>
        <w:rPr>
          <w:rFonts w:ascii="仿宋_GB2312" w:eastAsia="仿宋_GB2312"/>
        </w:rPr>
      </w:pPr>
      <w:r>
        <w:rPr>
          <w:rFonts w:hint="eastAsia" w:ascii="仿宋_GB2312" w:eastAsia="仿宋_GB2312"/>
        </w:rPr>
        <w:t>（一）</w:t>
      </w:r>
      <w:r>
        <w:rPr>
          <w:rFonts w:hint="eastAsia" w:ascii="仿宋_GB2312" w:eastAsia="仿宋_GB2312"/>
          <w:bCs/>
        </w:rPr>
        <w:t>自2024年1月1日开始接受报名，A、B、C、D、E、F类人才及人才团队报名截止时间为2024年12月31日；硕士研究生、优秀运动员报名截止时间为2024年2月10日。</w:t>
      </w:r>
      <w:r>
        <w:rPr>
          <w:rFonts w:hint="eastAsia" w:ascii="仿宋_GB2312" w:eastAsia="仿宋_GB2312"/>
        </w:rPr>
        <w:t>期间相应岗位已招录到高层次人才的，或拟聘人员公示的同时在网站公布的，不再受理后续报名。</w:t>
      </w:r>
    </w:p>
    <w:p w14:paraId="38EFDE50">
      <w:pPr>
        <w:pStyle w:val="5"/>
        <w:overflowPunct w:val="0"/>
        <w:spacing w:line="400" w:lineRule="exact"/>
        <w:ind w:left="0" w:firstLine="480" w:firstLineChars="200"/>
        <w:rPr>
          <w:rFonts w:ascii="仿宋_GB2312" w:eastAsia="仿宋_GB2312"/>
        </w:rPr>
      </w:pPr>
      <w:r>
        <w:rPr>
          <w:rFonts w:hint="eastAsia" w:ascii="仿宋_GB2312" w:eastAsia="仿宋_GB2312"/>
        </w:rPr>
        <w:t>（二）相关专业认定办法：本次高层次人才引进各岗位所列的学历专业范围由学校根据《2024年浙江省公务员录用考试专业参考目录》进行设定。部分专业涉及名称更改的，新旧专业可认定为同一专业；专业名称不一致，但所学方向相同相近的，一般可接受报考，并以衢州学院审核意见为准；具有企事业工作经历且取得高级专业技术职务的，取得高级专业技术职务专业需与专业要求相关，一般可接受报考。</w:t>
      </w:r>
    </w:p>
    <w:p w14:paraId="3938002B">
      <w:pPr>
        <w:pStyle w:val="5"/>
        <w:overflowPunct w:val="0"/>
        <w:spacing w:line="400" w:lineRule="exact"/>
        <w:ind w:left="0" w:firstLine="480" w:firstLineChars="200"/>
        <w:rPr>
          <w:rFonts w:ascii="仿宋_GB2312" w:eastAsia="仿宋_GB2312"/>
        </w:rPr>
      </w:pPr>
      <w:r>
        <w:rPr>
          <w:rFonts w:hint="eastAsia" w:ascii="仿宋_GB2312" w:eastAsia="仿宋_GB2312"/>
        </w:rPr>
        <w:t>（三）相关流程信息公布在衢州学院官网，请应聘人员及时查看。请保持报名表上的联系电话畅通，以便及时通知，应聘者不按规定时间地点参加面试面谈、考核、体检等视作放弃。</w:t>
      </w:r>
    </w:p>
    <w:p w14:paraId="2990044F">
      <w:pPr>
        <w:pStyle w:val="5"/>
        <w:overflowPunct w:val="0"/>
        <w:spacing w:line="400" w:lineRule="exact"/>
        <w:ind w:left="0" w:firstLine="480" w:firstLineChars="200"/>
        <w:rPr>
          <w:rFonts w:ascii="仿宋_GB2312" w:eastAsia="仿宋_GB2312"/>
        </w:rPr>
      </w:pPr>
      <w:r>
        <w:rPr>
          <w:rFonts w:hint="eastAsia" w:ascii="仿宋_GB2312" w:eastAsia="仿宋_GB2312"/>
        </w:rPr>
        <w:t>（四）报考人员对本引进公告或在指定网站公布的相关信息有异议的，可在公布之日起5日内根据岗位向我单位反映，以便及时研究处理。监督电话：</w:t>
      </w:r>
      <w:r>
        <w:rPr>
          <w:rFonts w:ascii="Times New Roman" w:eastAsia="仿宋_GB2312" w:cs="Times New Roman"/>
        </w:rPr>
        <w:t>0570-80</w:t>
      </w:r>
      <w:r>
        <w:rPr>
          <w:rFonts w:hint="eastAsia" w:ascii="Times New Roman" w:eastAsia="仿宋_GB2312" w:cs="Times New Roman"/>
        </w:rPr>
        <w:t>26671</w:t>
      </w:r>
      <w:r>
        <w:rPr>
          <w:rFonts w:hint="eastAsia" w:ascii="仿宋_GB2312" w:eastAsia="仿宋_GB2312"/>
        </w:rPr>
        <w:t>（校人事处）、</w:t>
      </w:r>
      <w:r>
        <w:rPr>
          <w:rFonts w:ascii="Times New Roman" w:eastAsia="仿宋_GB2312" w:cs="Times New Roman"/>
        </w:rPr>
        <w:t>0570-8028406</w:t>
      </w:r>
      <w:r>
        <w:rPr>
          <w:rFonts w:hint="eastAsia" w:ascii="仿宋_GB2312" w:eastAsia="仿宋_GB2312"/>
        </w:rPr>
        <w:t>（校纪检监察室）。</w:t>
      </w:r>
    </w:p>
    <w:p w14:paraId="5CA6A701">
      <w:pPr>
        <w:pStyle w:val="5"/>
        <w:overflowPunct w:val="0"/>
        <w:spacing w:before="240" w:line="360" w:lineRule="auto"/>
        <w:ind w:left="126" w:leftChars="60" w:right="442" w:firstLine="482" w:firstLineChars="200"/>
        <w:jc w:val="both"/>
        <w:rPr>
          <w:rFonts w:ascii="仿宋_GB2312" w:eastAsia="仿宋_GB2312"/>
          <w:b/>
        </w:rPr>
      </w:pPr>
      <w:r>
        <w:rPr>
          <w:rFonts w:hint="eastAsia" w:ascii="仿宋_GB2312" w:eastAsia="仿宋_GB2312"/>
          <w:b/>
        </w:rPr>
        <w:t>七、联系方式</w:t>
      </w:r>
    </w:p>
    <w:p w14:paraId="4794A241">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（一）二级学院（部）联系方式</w:t>
      </w:r>
    </w:p>
    <w:tbl>
      <w:tblPr>
        <w:tblStyle w:val="10"/>
        <w:tblW w:w="8836" w:type="dxa"/>
        <w:jc w:val="center"/>
        <w:tblLayout w:type="fixed"/>
        <w:tblCellMar>
          <w:top w:w="0" w:type="dxa"/>
          <w:left w:w="0" w:type="dxa"/>
          <w:bottom w:w="0" w:type="dxa"/>
          <w:right w:w="0" w:type="dxa"/>
        </w:tblCellMar>
      </w:tblPr>
      <w:tblGrid>
        <w:gridCol w:w="2883"/>
        <w:gridCol w:w="1117"/>
        <w:gridCol w:w="2001"/>
        <w:gridCol w:w="2835"/>
      </w:tblGrid>
      <w:tr w14:paraId="272B5AB3">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7C0CCBB6">
            <w:pPr>
              <w:pStyle w:val="16"/>
              <w:overflowPunct w:val="0"/>
              <w:snapToGrid w:val="0"/>
              <w:spacing w:before="99"/>
              <w:jc w:val="center"/>
              <w:rPr>
                <w:rFonts w:ascii="仿宋_GB2312" w:eastAsia="仿宋_GB2312"/>
              </w:rPr>
            </w:pPr>
            <w:r>
              <w:rPr>
                <w:rFonts w:hint="eastAsia" w:ascii="仿宋_GB2312" w:eastAsia="仿宋_GB2312" w:cs="仿宋"/>
                <w:b/>
                <w:bCs/>
              </w:rPr>
              <w:t>二级学院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3F8B8943">
            <w:pPr>
              <w:pStyle w:val="16"/>
              <w:overflowPunct w:val="0"/>
              <w:snapToGrid w:val="0"/>
              <w:spacing w:before="99"/>
              <w:jc w:val="center"/>
              <w:rPr>
                <w:rFonts w:ascii="仿宋_GB2312" w:eastAsia="仿宋_GB2312"/>
              </w:rPr>
            </w:pPr>
            <w:r>
              <w:rPr>
                <w:rFonts w:hint="eastAsia" w:ascii="仿宋_GB2312" w:eastAsia="仿宋_GB2312" w:cs="仿宋"/>
                <w:b/>
                <w:bCs/>
              </w:rPr>
              <w:t>联系人</w:t>
            </w:r>
          </w:p>
        </w:tc>
        <w:tc>
          <w:tcPr>
            <w:tcW w:w="2001" w:type="dxa"/>
            <w:tcBorders>
              <w:top w:val="single" w:color="000000" w:sz="4" w:space="0"/>
              <w:left w:val="single" w:color="000000" w:sz="4" w:space="0"/>
              <w:bottom w:val="single" w:color="000000" w:sz="4" w:space="0"/>
              <w:right w:val="single" w:color="000000" w:sz="4" w:space="0"/>
            </w:tcBorders>
            <w:vAlign w:val="center"/>
          </w:tcPr>
          <w:p w14:paraId="5C9D359A">
            <w:pPr>
              <w:pStyle w:val="16"/>
              <w:overflowPunct w:val="0"/>
              <w:snapToGrid w:val="0"/>
              <w:spacing w:before="99"/>
              <w:jc w:val="center"/>
              <w:rPr>
                <w:rFonts w:ascii="仿宋_GB2312" w:eastAsia="仿宋_GB2312"/>
              </w:rPr>
            </w:pPr>
            <w:r>
              <w:rPr>
                <w:rFonts w:hint="eastAsia" w:ascii="仿宋_GB2312" w:eastAsia="仿宋_GB2312" w:cs="仿宋"/>
                <w:b/>
                <w:bCs/>
              </w:rPr>
              <w:t>电话</w:t>
            </w:r>
          </w:p>
        </w:tc>
        <w:tc>
          <w:tcPr>
            <w:tcW w:w="2835" w:type="dxa"/>
            <w:tcBorders>
              <w:top w:val="single" w:color="000000" w:sz="4" w:space="0"/>
              <w:left w:val="single" w:color="000000" w:sz="4" w:space="0"/>
              <w:bottom w:val="single" w:color="000000" w:sz="4" w:space="0"/>
              <w:right w:val="single" w:color="000000" w:sz="4" w:space="0"/>
            </w:tcBorders>
            <w:vAlign w:val="center"/>
          </w:tcPr>
          <w:p w14:paraId="08299AD5">
            <w:pPr>
              <w:pStyle w:val="16"/>
              <w:overflowPunct w:val="0"/>
              <w:snapToGrid w:val="0"/>
              <w:spacing w:before="99"/>
              <w:jc w:val="center"/>
              <w:rPr>
                <w:rFonts w:ascii="仿宋_GB2312" w:eastAsia="仿宋_GB2312"/>
              </w:rPr>
            </w:pPr>
            <w:r>
              <w:rPr>
                <w:rFonts w:hint="eastAsia" w:ascii="仿宋_GB2312" w:eastAsia="仿宋_GB2312" w:cs="仿宋"/>
                <w:b/>
                <w:bCs/>
              </w:rPr>
              <w:t>E-mail</w:t>
            </w:r>
          </w:p>
        </w:tc>
      </w:tr>
      <w:tr w14:paraId="6245BA55">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01616FA1">
            <w:pPr>
              <w:pStyle w:val="16"/>
              <w:overflowPunct w:val="0"/>
              <w:snapToGrid w:val="0"/>
              <w:spacing w:before="75"/>
              <w:jc w:val="center"/>
              <w:rPr>
                <w:rFonts w:ascii="仿宋_GB2312" w:eastAsia="仿宋_GB2312"/>
              </w:rPr>
            </w:pPr>
            <w:r>
              <w:rPr>
                <w:rFonts w:hint="eastAsia" w:ascii="仿宋_GB2312" w:eastAsia="仿宋_GB2312" w:cs="仿宋"/>
              </w:rPr>
              <w:t>化学与材料工程学院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3364AF12">
            <w:pPr>
              <w:pStyle w:val="16"/>
              <w:overflowPunct w:val="0"/>
              <w:snapToGrid w:val="0"/>
              <w:spacing w:before="75"/>
              <w:jc w:val="center"/>
              <w:rPr>
                <w:rFonts w:ascii="仿宋_GB2312" w:eastAsia="仿宋_GB2312"/>
              </w:rPr>
            </w:pPr>
            <w:r>
              <w:rPr>
                <w:rFonts w:hint="eastAsia" w:ascii="仿宋_GB2312" w:eastAsia="仿宋_GB2312" w:cs="仿宋"/>
              </w:rPr>
              <w:t>程老师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5CF9D878">
            <w:pPr>
              <w:pStyle w:val="16"/>
              <w:overflowPunct w:val="0"/>
              <w:snapToGrid w:val="0"/>
              <w:spacing w:before="72"/>
              <w:jc w:val="center"/>
              <w:rPr>
                <w:rFonts w:eastAsia="仿宋_GB2312"/>
              </w:rPr>
            </w:pPr>
            <w:r>
              <w:rPr>
                <w:rFonts w:eastAsia="仿宋_GB2312"/>
              </w:rPr>
              <w:t>0570-8026552</w:t>
            </w:r>
          </w:p>
        </w:tc>
        <w:tc>
          <w:tcPr>
            <w:tcW w:w="2835" w:type="dxa"/>
            <w:tcBorders>
              <w:top w:val="single" w:color="000000" w:sz="4" w:space="0"/>
              <w:left w:val="single" w:color="000000" w:sz="4" w:space="0"/>
              <w:bottom w:val="single" w:color="000000" w:sz="4" w:space="0"/>
              <w:right w:val="single" w:color="000000" w:sz="4" w:space="0"/>
            </w:tcBorders>
            <w:vAlign w:val="center"/>
          </w:tcPr>
          <w:p w14:paraId="16F0B0D2">
            <w:pPr>
              <w:pStyle w:val="16"/>
              <w:overflowPunct w:val="0"/>
              <w:snapToGrid w:val="0"/>
              <w:spacing w:before="72"/>
              <w:jc w:val="center"/>
              <w:rPr>
                <w:rFonts w:eastAsia="仿宋_GB2312"/>
              </w:rPr>
            </w:pPr>
            <w:r>
              <w:fldChar w:fldCharType="begin"/>
            </w:r>
            <w:r>
              <w:instrText xml:space="preserve"> HYPERLINK "mailto:hcxy@qzc.edu.cn" </w:instrText>
            </w:r>
            <w:r>
              <w:fldChar w:fldCharType="separate"/>
            </w:r>
            <w:r>
              <w:rPr>
                <w:rFonts w:eastAsia="仿宋_GB2312"/>
              </w:rPr>
              <w:t>hcxy@qzc.edu.cn</w:t>
            </w:r>
            <w:r>
              <w:rPr>
                <w:rFonts w:eastAsia="仿宋_GB2312"/>
              </w:rPr>
              <w:fldChar w:fldCharType="end"/>
            </w:r>
          </w:p>
        </w:tc>
      </w:tr>
      <w:tr w14:paraId="3CFA7A15">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37DF3E8F">
            <w:pPr>
              <w:pStyle w:val="16"/>
              <w:overflowPunct w:val="0"/>
              <w:snapToGrid w:val="0"/>
              <w:spacing w:before="75"/>
              <w:jc w:val="center"/>
              <w:rPr>
                <w:rFonts w:ascii="仿宋_GB2312" w:eastAsia="仿宋_GB2312"/>
              </w:rPr>
            </w:pPr>
            <w:r>
              <w:rPr>
                <w:rFonts w:hint="eastAsia" w:ascii="仿宋_GB2312" w:eastAsia="仿宋_GB2312" w:cs="仿宋"/>
              </w:rPr>
              <w:t>机械工程学院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39A7CA25">
            <w:pPr>
              <w:pStyle w:val="16"/>
              <w:overflowPunct w:val="0"/>
              <w:snapToGrid w:val="0"/>
              <w:spacing w:before="75"/>
              <w:jc w:val="center"/>
              <w:rPr>
                <w:rFonts w:ascii="仿宋_GB2312" w:eastAsia="仿宋_GB2312" w:cs="仿宋"/>
              </w:rPr>
            </w:pPr>
            <w:r>
              <w:rPr>
                <w:rFonts w:hint="eastAsia" w:ascii="仿宋_GB2312" w:eastAsia="仿宋_GB2312" w:cs="仿宋"/>
              </w:rPr>
              <w:t>刘老师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6D8E0CB5">
            <w:pPr>
              <w:pStyle w:val="16"/>
              <w:overflowPunct w:val="0"/>
              <w:snapToGrid w:val="0"/>
              <w:spacing w:before="72"/>
              <w:jc w:val="center"/>
              <w:rPr>
                <w:rFonts w:eastAsia="仿宋_GB2312"/>
              </w:rPr>
            </w:pPr>
            <w:r>
              <w:rPr>
                <w:rFonts w:eastAsia="仿宋_GB2312"/>
              </w:rPr>
              <w:t>0570-80</w:t>
            </w:r>
            <w:r>
              <w:rPr>
                <w:rFonts w:hint="eastAsia" w:eastAsia="仿宋_GB2312"/>
              </w:rPr>
              <w:t>26716</w:t>
            </w:r>
          </w:p>
        </w:tc>
        <w:tc>
          <w:tcPr>
            <w:tcW w:w="2835" w:type="dxa"/>
            <w:tcBorders>
              <w:top w:val="single" w:color="000000" w:sz="4" w:space="0"/>
              <w:left w:val="single" w:color="000000" w:sz="4" w:space="0"/>
              <w:bottom w:val="single" w:color="000000" w:sz="4" w:space="0"/>
              <w:right w:val="single" w:color="000000" w:sz="4" w:space="0"/>
            </w:tcBorders>
            <w:vAlign w:val="center"/>
          </w:tcPr>
          <w:p w14:paraId="072A7966">
            <w:pPr>
              <w:pStyle w:val="16"/>
              <w:overflowPunct w:val="0"/>
              <w:snapToGrid w:val="0"/>
              <w:spacing w:before="72"/>
              <w:jc w:val="center"/>
              <w:rPr>
                <w:rFonts w:eastAsia="仿宋_GB2312"/>
              </w:rPr>
            </w:pPr>
            <w:r>
              <w:rPr>
                <w:rFonts w:eastAsia="仿宋_GB2312"/>
              </w:rPr>
              <w:t>jxxy@qzc.edu.cn</w:t>
            </w:r>
          </w:p>
        </w:tc>
      </w:tr>
      <w:tr w14:paraId="0B7ABFFB">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51A22CFC">
            <w:pPr>
              <w:pStyle w:val="16"/>
              <w:overflowPunct w:val="0"/>
              <w:snapToGrid w:val="0"/>
              <w:spacing w:before="75"/>
              <w:jc w:val="center"/>
              <w:rPr>
                <w:rFonts w:ascii="仿宋_GB2312" w:eastAsia="仿宋_GB2312"/>
              </w:rPr>
            </w:pPr>
            <w:r>
              <w:rPr>
                <w:rFonts w:hint="eastAsia" w:ascii="仿宋_GB2312" w:eastAsia="仿宋_GB2312" w:cs="仿宋"/>
              </w:rPr>
              <w:t>建筑工程学院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4C6C04B9">
            <w:pPr>
              <w:pStyle w:val="16"/>
              <w:overflowPunct w:val="0"/>
              <w:snapToGrid w:val="0"/>
              <w:spacing w:before="75"/>
              <w:jc w:val="center"/>
              <w:rPr>
                <w:rFonts w:ascii="仿宋_GB2312" w:eastAsia="仿宋_GB2312" w:cs="仿宋"/>
              </w:rPr>
            </w:pPr>
            <w:r>
              <w:rPr>
                <w:rFonts w:hint="eastAsia" w:ascii="仿宋_GB2312" w:eastAsia="仿宋_GB2312" w:cs="仿宋"/>
              </w:rPr>
              <w:t>孙老师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6F15C0DE">
            <w:pPr>
              <w:pStyle w:val="16"/>
              <w:overflowPunct w:val="0"/>
              <w:snapToGrid w:val="0"/>
              <w:spacing w:before="72"/>
              <w:jc w:val="center"/>
              <w:rPr>
                <w:rFonts w:eastAsia="仿宋_GB2312"/>
              </w:rPr>
            </w:pPr>
            <w:r>
              <w:rPr>
                <w:rFonts w:eastAsia="仿宋_GB2312"/>
              </w:rPr>
              <w:t>13505702029</w:t>
            </w:r>
          </w:p>
        </w:tc>
        <w:tc>
          <w:tcPr>
            <w:tcW w:w="2835" w:type="dxa"/>
            <w:tcBorders>
              <w:top w:val="single" w:color="000000" w:sz="4" w:space="0"/>
              <w:left w:val="single" w:color="000000" w:sz="4" w:space="0"/>
              <w:bottom w:val="single" w:color="000000" w:sz="4" w:space="0"/>
              <w:right w:val="single" w:color="000000" w:sz="4" w:space="0"/>
            </w:tcBorders>
            <w:vAlign w:val="center"/>
          </w:tcPr>
          <w:p w14:paraId="1029BB8B">
            <w:pPr>
              <w:pStyle w:val="16"/>
              <w:overflowPunct w:val="0"/>
              <w:snapToGrid w:val="0"/>
              <w:spacing w:before="72"/>
              <w:jc w:val="center"/>
              <w:rPr>
                <w:rFonts w:eastAsia="仿宋_GB2312"/>
              </w:rPr>
            </w:pPr>
            <w:r>
              <w:rPr>
                <w:rFonts w:eastAsia="仿宋_GB2312"/>
              </w:rPr>
              <w:t>jgxy@qzc.edu.cn</w:t>
            </w:r>
          </w:p>
        </w:tc>
      </w:tr>
      <w:tr w14:paraId="581B49B3">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0DAA7F05">
            <w:pPr>
              <w:pStyle w:val="16"/>
              <w:overflowPunct w:val="0"/>
              <w:snapToGrid w:val="0"/>
              <w:spacing w:before="75"/>
              <w:jc w:val="center"/>
              <w:rPr>
                <w:rFonts w:ascii="仿宋_GB2312" w:eastAsia="仿宋_GB2312"/>
              </w:rPr>
            </w:pPr>
            <w:r>
              <w:rPr>
                <w:rFonts w:hint="eastAsia" w:ascii="仿宋_GB2312" w:eastAsia="仿宋_GB2312" w:cs="仿宋"/>
              </w:rPr>
              <w:t>电气与信息工程学院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6A804707">
            <w:pPr>
              <w:pStyle w:val="16"/>
              <w:overflowPunct w:val="0"/>
              <w:snapToGrid w:val="0"/>
              <w:spacing w:before="75"/>
              <w:jc w:val="center"/>
              <w:rPr>
                <w:rFonts w:ascii="仿宋_GB2312" w:eastAsia="仿宋_GB2312" w:cs="仿宋"/>
              </w:rPr>
            </w:pPr>
            <w:r>
              <w:rPr>
                <w:rFonts w:hint="eastAsia" w:ascii="仿宋_GB2312" w:eastAsia="仿宋_GB2312" w:cs="仿宋"/>
              </w:rPr>
              <w:t>赵老师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55A51338">
            <w:pPr>
              <w:pStyle w:val="16"/>
              <w:overflowPunct w:val="0"/>
              <w:snapToGrid w:val="0"/>
              <w:spacing w:before="72"/>
              <w:jc w:val="center"/>
              <w:rPr>
                <w:rFonts w:eastAsia="仿宋_GB2312"/>
              </w:rPr>
            </w:pPr>
            <w:r>
              <w:rPr>
                <w:rFonts w:eastAsia="仿宋_GB2312"/>
              </w:rPr>
              <w:t>13957006399</w:t>
            </w:r>
          </w:p>
        </w:tc>
        <w:tc>
          <w:tcPr>
            <w:tcW w:w="2835" w:type="dxa"/>
            <w:tcBorders>
              <w:top w:val="single" w:color="000000" w:sz="4" w:space="0"/>
              <w:left w:val="single" w:color="000000" w:sz="4" w:space="0"/>
              <w:bottom w:val="single" w:color="000000" w:sz="4" w:space="0"/>
              <w:right w:val="single" w:color="000000" w:sz="4" w:space="0"/>
            </w:tcBorders>
            <w:vAlign w:val="center"/>
          </w:tcPr>
          <w:p w14:paraId="29599483">
            <w:pPr>
              <w:pStyle w:val="16"/>
              <w:overflowPunct w:val="0"/>
              <w:snapToGrid w:val="0"/>
              <w:spacing w:before="72"/>
              <w:jc w:val="center"/>
              <w:rPr>
                <w:rFonts w:eastAsia="仿宋_GB2312"/>
              </w:rPr>
            </w:pPr>
            <w:r>
              <w:rPr>
                <w:rFonts w:eastAsia="仿宋_GB2312"/>
              </w:rPr>
              <w:t>44006@qzc.edu.cn</w:t>
            </w:r>
          </w:p>
        </w:tc>
      </w:tr>
      <w:tr w14:paraId="296318A7">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1B82A7CD">
            <w:pPr>
              <w:pStyle w:val="16"/>
              <w:overflowPunct w:val="0"/>
              <w:snapToGrid w:val="0"/>
              <w:spacing w:before="75"/>
              <w:jc w:val="center"/>
              <w:rPr>
                <w:rFonts w:ascii="仿宋_GB2312" w:eastAsia="仿宋_GB2312"/>
              </w:rPr>
            </w:pPr>
            <w:r>
              <w:rPr>
                <w:rFonts w:hint="eastAsia" w:ascii="仿宋_GB2312" w:eastAsia="仿宋_GB2312" w:cs="仿宋"/>
              </w:rPr>
              <w:t>商学院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1ECED5F9">
            <w:pPr>
              <w:pStyle w:val="16"/>
              <w:overflowPunct w:val="0"/>
              <w:snapToGrid w:val="0"/>
              <w:spacing w:before="75"/>
              <w:jc w:val="center"/>
              <w:rPr>
                <w:rFonts w:ascii="仿宋_GB2312" w:eastAsia="仿宋_GB2312" w:cs="仿宋"/>
              </w:rPr>
            </w:pPr>
            <w:r>
              <w:rPr>
                <w:rFonts w:hint="eastAsia" w:ascii="仿宋_GB2312" w:eastAsia="仿宋_GB2312" w:cs="仿宋"/>
              </w:rPr>
              <w:t>祁老师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394A4179">
            <w:pPr>
              <w:pStyle w:val="16"/>
              <w:overflowPunct w:val="0"/>
              <w:snapToGrid w:val="0"/>
              <w:spacing w:before="72"/>
              <w:jc w:val="center"/>
              <w:rPr>
                <w:rFonts w:eastAsia="仿宋_GB2312"/>
              </w:rPr>
            </w:pPr>
            <w:r>
              <w:rPr>
                <w:rFonts w:eastAsia="仿宋_GB2312"/>
              </w:rPr>
              <w:t>13511402520</w:t>
            </w:r>
          </w:p>
        </w:tc>
        <w:tc>
          <w:tcPr>
            <w:tcW w:w="2835" w:type="dxa"/>
            <w:tcBorders>
              <w:top w:val="single" w:color="000000" w:sz="4" w:space="0"/>
              <w:left w:val="single" w:color="000000" w:sz="4" w:space="0"/>
              <w:bottom w:val="single" w:color="000000" w:sz="4" w:space="0"/>
              <w:right w:val="single" w:color="000000" w:sz="4" w:space="0"/>
            </w:tcBorders>
            <w:vAlign w:val="center"/>
          </w:tcPr>
          <w:p w14:paraId="3BDE203C">
            <w:pPr>
              <w:pStyle w:val="16"/>
              <w:overflowPunct w:val="0"/>
              <w:snapToGrid w:val="0"/>
              <w:spacing w:before="72"/>
              <w:jc w:val="center"/>
              <w:rPr>
                <w:rFonts w:eastAsia="仿宋_GB2312"/>
              </w:rPr>
            </w:pPr>
            <w:r>
              <w:rPr>
                <w:rFonts w:eastAsia="仿宋_GB2312"/>
              </w:rPr>
              <w:t>sxy@qzc.edu.cn</w:t>
            </w:r>
          </w:p>
        </w:tc>
      </w:tr>
      <w:tr w14:paraId="13000697">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2E4011FC">
            <w:pPr>
              <w:pStyle w:val="16"/>
              <w:overflowPunct w:val="0"/>
              <w:snapToGrid w:val="0"/>
              <w:spacing w:before="75"/>
              <w:jc w:val="center"/>
              <w:rPr>
                <w:rFonts w:ascii="仿宋_GB2312" w:eastAsia="仿宋_GB2312"/>
              </w:rPr>
            </w:pPr>
            <w:r>
              <w:rPr>
                <w:rFonts w:hint="eastAsia" w:ascii="仿宋_GB2312" w:eastAsia="仿宋_GB2312" w:cs="仿宋"/>
              </w:rPr>
              <w:t>教师教育学院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2AD502C4">
            <w:pPr>
              <w:pStyle w:val="16"/>
              <w:overflowPunct w:val="0"/>
              <w:snapToGrid w:val="0"/>
              <w:spacing w:before="75"/>
              <w:jc w:val="center"/>
              <w:rPr>
                <w:rFonts w:ascii="仿宋_GB2312" w:eastAsia="仿宋_GB2312"/>
              </w:rPr>
            </w:pPr>
            <w:r>
              <w:rPr>
                <w:rFonts w:hint="eastAsia" w:ascii="仿宋_GB2312" w:eastAsia="仿宋_GB2312" w:cs="仿宋"/>
              </w:rPr>
              <w:t>李老师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066956F7">
            <w:pPr>
              <w:pStyle w:val="16"/>
              <w:overflowPunct w:val="0"/>
              <w:snapToGrid w:val="0"/>
              <w:spacing w:before="72"/>
              <w:jc w:val="center"/>
              <w:rPr>
                <w:rFonts w:eastAsia="仿宋_GB2312"/>
              </w:rPr>
            </w:pPr>
            <w:r>
              <w:rPr>
                <w:rFonts w:eastAsia="仿宋_GB2312"/>
              </w:rPr>
              <w:t>0570-8026588</w:t>
            </w:r>
          </w:p>
        </w:tc>
        <w:tc>
          <w:tcPr>
            <w:tcW w:w="2835" w:type="dxa"/>
            <w:tcBorders>
              <w:top w:val="single" w:color="000000" w:sz="4" w:space="0"/>
              <w:left w:val="single" w:color="000000" w:sz="4" w:space="0"/>
              <w:bottom w:val="single" w:color="000000" w:sz="4" w:space="0"/>
              <w:right w:val="single" w:color="000000" w:sz="4" w:space="0"/>
            </w:tcBorders>
            <w:vAlign w:val="center"/>
          </w:tcPr>
          <w:p w14:paraId="365A5B4E">
            <w:pPr>
              <w:pStyle w:val="16"/>
              <w:overflowPunct w:val="0"/>
              <w:snapToGrid w:val="0"/>
              <w:spacing w:before="75"/>
              <w:jc w:val="center"/>
              <w:rPr>
                <w:rFonts w:eastAsia="仿宋_GB2312"/>
              </w:rPr>
            </w:pPr>
            <w:r>
              <w:rPr>
                <w:rFonts w:eastAsia="仿宋_GB2312"/>
              </w:rPr>
              <w:t>32036@qzc.edu.cn</w:t>
            </w:r>
          </w:p>
        </w:tc>
      </w:tr>
      <w:tr w14:paraId="486B083A">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2CAFEC82">
            <w:pPr>
              <w:pStyle w:val="16"/>
              <w:overflowPunct w:val="0"/>
              <w:snapToGrid w:val="0"/>
              <w:spacing w:before="75"/>
              <w:jc w:val="center"/>
              <w:rPr>
                <w:rFonts w:ascii="仿宋_GB2312" w:eastAsia="仿宋_GB2312"/>
              </w:rPr>
            </w:pPr>
            <w:r>
              <w:rPr>
                <w:rFonts w:hint="eastAsia" w:ascii="仿宋_GB2312" w:eastAsia="仿宋_GB2312" w:cs="仿宋"/>
              </w:rPr>
              <w:t>外国语学院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7046ED4E">
            <w:pPr>
              <w:pStyle w:val="16"/>
              <w:overflowPunct w:val="0"/>
              <w:snapToGrid w:val="0"/>
              <w:spacing w:before="75"/>
              <w:jc w:val="center"/>
              <w:rPr>
                <w:rFonts w:ascii="仿宋_GB2312" w:eastAsia="仿宋_GB2312"/>
              </w:rPr>
            </w:pPr>
            <w:r>
              <w:rPr>
                <w:rFonts w:hint="eastAsia" w:ascii="仿宋_GB2312" w:eastAsia="仿宋_GB2312" w:cs="仿宋"/>
              </w:rPr>
              <w:t>吴老师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22629769">
            <w:pPr>
              <w:pStyle w:val="16"/>
              <w:overflowPunct w:val="0"/>
              <w:snapToGrid w:val="0"/>
              <w:spacing w:before="75"/>
              <w:jc w:val="center"/>
              <w:rPr>
                <w:rFonts w:eastAsia="仿宋_GB2312"/>
              </w:rPr>
            </w:pPr>
            <w:r>
              <w:rPr>
                <w:rFonts w:eastAsia="仿宋_GB2312"/>
              </w:rPr>
              <w:t>0570-8025653</w:t>
            </w:r>
          </w:p>
        </w:tc>
        <w:tc>
          <w:tcPr>
            <w:tcW w:w="2835" w:type="dxa"/>
            <w:tcBorders>
              <w:top w:val="single" w:color="000000" w:sz="4" w:space="0"/>
              <w:left w:val="single" w:color="000000" w:sz="4" w:space="0"/>
              <w:bottom w:val="single" w:color="000000" w:sz="4" w:space="0"/>
              <w:right w:val="single" w:color="000000" w:sz="4" w:space="0"/>
            </w:tcBorders>
            <w:vAlign w:val="center"/>
          </w:tcPr>
          <w:p w14:paraId="6B7F88FA">
            <w:pPr>
              <w:pStyle w:val="16"/>
              <w:overflowPunct w:val="0"/>
              <w:snapToGrid w:val="0"/>
              <w:spacing w:before="75"/>
              <w:jc w:val="center"/>
              <w:rPr>
                <w:rFonts w:eastAsia="仿宋_GB2312"/>
              </w:rPr>
            </w:pPr>
            <w:r>
              <w:rPr>
                <w:rFonts w:eastAsia="仿宋_GB2312"/>
              </w:rPr>
              <w:t>33048@qzc.edu.cn</w:t>
            </w:r>
          </w:p>
        </w:tc>
      </w:tr>
      <w:tr w14:paraId="47B9825E">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0D55F958">
            <w:pPr>
              <w:pStyle w:val="16"/>
              <w:overflowPunct w:val="0"/>
              <w:snapToGrid w:val="0"/>
              <w:spacing w:before="19"/>
              <w:jc w:val="center"/>
              <w:rPr>
                <w:rFonts w:ascii="仿宋_GB2312" w:eastAsia="仿宋_GB2312"/>
              </w:rPr>
            </w:pPr>
            <w:r>
              <w:rPr>
                <w:rFonts w:hint="eastAsia" w:ascii="仿宋_GB2312" w:eastAsia="仿宋_GB2312" w:cs="仿宋"/>
              </w:rPr>
              <w:t>马克思主义学院</w:t>
            </w:r>
          </w:p>
        </w:tc>
        <w:tc>
          <w:tcPr>
            <w:tcW w:w="1117" w:type="dxa"/>
            <w:tcBorders>
              <w:top w:val="single" w:color="000000" w:sz="4" w:space="0"/>
              <w:left w:val="single" w:color="000000" w:sz="4" w:space="0"/>
              <w:bottom w:val="single" w:color="000000" w:sz="4" w:space="0"/>
              <w:right w:val="single" w:color="000000" w:sz="4" w:space="0"/>
            </w:tcBorders>
            <w:vAlign w:val="center"/>
          </w:tcPr>
          <w:p w14:paraId="7C379641">
            <w:pPr>
              <w:pStyle w:val="16"/>
              <w:overflowPunct w:val="0"/>
              <w:snapToGrid w:val="0"/>
              <w:spacing w:before="75"/>
              <w:jc w:val="center"/>
              <w:rPr>
                <w:rFonts w:ascii="仿宋_GB2312" w:eastAsia="仿宋_GB2312"/>
              </w:rPr>
            </w:pPr>
            <w:r>
              <w:rPr>
                <w:rFonts w:hint="eastAsia" w:ascii="仿宋_GB2312" w:eastAsia="仿宋_GB2312" w:cs="仿宋"/>
              </w:rPr>
              <w:t>程老师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4D4FB80B">
            <w:pPr>
              <w:pStyle w:val="16"/>
              <w:overflowPunct w:val="0"/>
              <w:snapToGrid w:val="0"/>
              <w:spacing w:before="75"/>
              <w:jc w:val="center"/>
              <w:rPr>
                <w:rFonts w:eastAsia="仿宋_GB2312"/>
              </w:rPr>
            </w:pPr>
            <w:r>
              <w:rPr>
                <w:rFonts w:eastAsia="仿宋_GB2312"/>
              </w:rPr>
              <w:t>0570-8015066</w:t>
            </w:r>
          </w:p>
        </w:tc>
        <w:tc>
          <w:tcPr>
            <w:tcW w:w="2835" w:type="dxa"/>
            <w:tcBorders>
              <w:top w:val="single" w:color="000000" w:sz="4" w:space="0"/>
              <w:left w:val="single" w:color="000000" w:sz="4" w:space="0"/>
              <w:bottom w:val="single" w:color="000000" w:sz="4" w:space="0"/>
              <w:right w:val="single" w:color="000000" w:sz="4" w:space="0"/>
            </w:tcBorders>
            <w:vAlign w:val="center"/>
          </w:tcPr>
          <w:p w14:paraId="57F6A875">
            <w:pPr>
              <w:pStyle w:val="16"/>
              <w:overflowPunct w:val="0"/>
              <w:snapToGrid w:val="0"/>
              <w:spacing w:before="75"/>
              <w:jc w:val="center"/>
              <w:rPr>
                <w:rFonts w:eastAsia="仿宋_GB2312"/>
              </w:rPr>
            </w:pPr>
            <w:r>
              <w:rPr>
                <w:rFonts w:eastAsia="仿宋_GB2312"/>
              </w:rPr>
              <w:t>11003@qzc.edu.cn</w:t>
            </w:r>
          </w:p>
        </w:tc>
      </w:tr>
      <w:tr w14:paraId="44AD3850">
        <w:tblPrEx>
          <w:tblCellMar>
            <w:top w:w="0" w:type="dxa"/>
            <w:left w:w="0" w:type="dxa"/>
            <w:bottom w:w="0" w:type="dxa"/>
            <w:right w:w="0" w:type="dxa"/>
          </w:tblCellMar>
        </w:tblPrEx>
        <w:trPr>
          <w:trHeight w:val="567" w:hRule="exact"/>
          <w:jc w:val="center"/>
        </w:trPr>
        <w:tc>
          <w:tcPr>
            <w:tcW w:w="2883" w:type="dxa"/>
            <w:tcBorders>
              <w:top w:val="single" w:color="000000" w:sz="4" w:space="0"/>
              <w:left w:val="single" w:color="000000" w:sz="4" w:space="0"/>
              <w:bottom w:val="single" w:color="000000" w:sz="4" w:space="0"/>
              <w:right w:val="single" w:color="000000" w:sz="4" w:space="0"/>
            </w:tcBorders>
            <w:vAlign w:val="center"/>
          </w:tcPr>
          <w:p w14:paraId="33478363">
            <w:pPr>
              <w:pStyle w:val="16"/>
              <w:overflowPunct w:val="0"/>
              <w:snapToGrid w:val="0"/>
              <w:spacing w:before="75"/>
              <w:jc w:val="center"/>
              <w:rPr>
                <w:rFonts w:ascii="仿宋_GB2312" w:eastAsia="仿宋_GB2312"/>
              </w:rPr>
            </w:pPr>
            <w:r>
              <w:rPr>
                <w:rFonts w:hint="eastAsia" w:ascii="仿宋_GB2312" w:eastAsia="仿宋_GB2312" w:cs="仿宋"/>
              </w:rPr>
              <w:t>体育工作部</w:t>
            </w:r>
          </w:p>
        </w:tc>
        <w:tc>
          <w:tcPr>
            <w:tcW w:w="1117" w:type="dxa"/>
            <w:tcBorders>
              <w:top w:val="single" w:color="000000" w:sz="4" w:space="0"/>
              <w:left w:val="single" w:color="000000" w:sz="4" w:space="0"/>
              <w:bottom w:val="single" w:color="000000" w:sz="4" w:space="0"/>
              <w:right w:val="single" w:color="000000" w:sz="4" w:space="0"/>
            </w:tcBorders>
            <w:vAlign w:val="center"/>
          </w:tcPr>
          <w:p w14:paraId="41A2A452">
            <w:pPr>
              <w:pStyle w:val="16"/>
              <w:overflowPunct w:val="0"/>
              <w:snapToGrid w:val="0"/>
              <w:spacing w:before="75"/>
              <w:jc w:val="center"/>
              <w:rPr>
                <w:rFonts w:ascii="仿宋_GB2312" w:eastAsia="仿宋_GB2312"/>
              </w:rPr>
            </w:pPr>
            <w:r>
              <w:rPr>
                <w:rFonts w:hint="eastAsia" w:ascii="仿宋_GB2312" w:eastAsia="仿宋_GB2312" w:cs="仿宋"/>
              </w:rPr>
              <w:t>董老师</w:t>
            </w:r>
          </w:p>
        </w:tc>
        <w:tc>
          <w:tcPr>
            <w:tcW w:w="2001" w:type="dxa"/>
            <w:tcBorders>
              <w:top w:val="single" w:color="000000" w:sz="4" w:space="0"/>
              <w:left w:val="single" w:color="000000" w:sz="4" w:space="0"/>
              <w:bottom w:val="single" w:color="000000" w:sz="4" w:space="0"/>
              <w:right w:val="single" w:color="000000" w:sz="4" w:space="0"/>
            </w:tcBorders>
            <w:vAlign w:val="center"/>
          </w:tcPr>
          <w:p w14:paraId="0E7EAFA4">
            <w:pPr>
              <w:pStyle w:val="16"/>
              <w:overflowPunct w:val="0"/>
              <w:snapToGrid w:val="0"/>
              <w:spacing w:before="75"/>
              <w:jc w:val="center"/>
              <w:rPr>
                <w:rFonts w:eastAsia="仿宋_GB2312"/>
              </w:rPr>
            </w:pPr>
            <w:r>
              <w:rPr>
                <w:rFonts w:eastAsia="仿宋_GB2312"/>
              </w:rPr>
              <w:t>0570-8026602</w:t>
            </w:r>
          </w:p>
        </w:tc>
        <w:tc>
          <w:tcPr>
            <w:tcW w:w="2835" w:type="dxa"/>
            <w:tcBorders>
              <w:top w:val="single" w:color="000000" w:sz="4" w:space="0"/>
              <w:left w:val="single" w:color="000000" w:sz="4" w:space="0"/>
              <w:bottom w:val="single" w:color="000000" w:sz="4" w:space="0"/>
              <w:right w:val="single" w:color="000000" w:sz="4" w:space="0"/>
            </w:tcBorders>
            <w:vAlign w:val="center"/>
          </w:tcPr>
          <w:p w14:paraId="35DDB25F">
            <w:pPr>
              <w:pStyle w:val="16"/>
              <w:overflowPunct w:val="0"/>
              <w:snapToGrid w:val="0"/>
              <w:spacing w:before="75"/>
              <w:jc w:val="center"/>
              <w:rPr>
                <w:rFonts w:eastAsia="仿宋_GB2312"/>
              </w:rPr>
            </w:pPr>
            <w:r>
              <w:rPr>
                <w:rFonts w:hint="eastAsia"/>
              </w:rPr>
              <w:t>42042@</w:t>
            </w:r>
            <w:r>
              <w:fldChar w:fldCharType="begin"/>
            </w:r>
            <w:r>
              <w:instrText xml:space="preserve"> HYPERLINK "http://qzc.edu.cn/" \t "_blank" </w:instrText>
            </w:r>
            <w:r>
              <w:fldChar w:fldCharType="separate"/>
            </w:r>
            <w:r>
              <w:rPr>
                <w:rStyle w:val="13"/>
                <w:rFonts w:hint="eastAsia"/>
                <w:color w:val="auto"/>
                <w:u w:val="none"/>
              </w:rPr>
              <w:t>qzc.edu.cn</w:t>
            </w:r>
            <w:r>
              <w:rPr>
                <w:rStyle w:val="13"/>
                <w:rFonts w:hint="eastAsia"/>
                <w:color w:val="auto"/>
                <w:u w:val="none"/>
              </w:rPr>
              <w:fldChar w:fldCharType="end"/>
            </w:r>
          </w:p>
        </w:tc>
      </w:tr>
    </w:tbl>
    <w:p w14:paraId="0B4BE837">
      <w:pPr>
        <w:pStyle w:val="5"/>
        <w:overflowPunct w:val="0"/>
        <w:spacing w:line="400" w:lineRule="exact"/>
        <w:ind w:left="126" w:leftChars="60" w:firstLine="474" w:firstLineChars="200"/>
        <w:rPr>
          <w:rFonts w:ascii="仿宋_GB2312" w:eastAsia="仿宋_GB2312"/>
          <w:b/>
          <w:spacing w:val="-2"/>
        </w:rPr>
      </w:pPr>
      <w:r>
        <w:rPr>
          <w:rFonts w:hint="eastAsia" w:ascii="仿宋_GB2312" w:eastAsia="仿宋_GB2312"/>
          <w:b/>
          <w:spacing w:val="-2"/>
        </w:rPr>
        <w:t>（二）人事处联系方式</w:t>
      </w:r>
    </w:p>
    <w:p w14:paraId="3FAD32AC">
      <w:pPr>
        <w:pStyle w:val="5"/>
        <w:overflowPunct w:val="0"/>
        <w:spacing w:line="400" w:lineRule="exact"/>
        <w:ind w:left="126" w:leftChars="60" w:firstLine="472" w:firstLineChars="200"/>
        <w:rPr>
          <w:rFonts w:hint="eastAsia" w:ascii="仿宋_GB2312" w:eastAsia="仿宋_GB2312"/>
          <w:spacing w:val="-2"/>
        </w:rPr>
      </w:pPr>
      <w:r>
        <w:rPr>
          <w:rFonts w:hint="eastAsia" w:ascii="仿宋_GB2312" w:eastAsia="仿宋_GB2312"/>
          <w:spacing w:val="-2"/>
        </w:rPr>
        <w:t xml:space="preserve">联系人：童老师 王老师     </w:t>
      </w:r>
    </w:p>
    <w:p w14:paraId="12E606C0">
      <w:pPr>
        <w:pStyle w:val="5"/>
        <w:overflowPunct w:val="0"/>
        <w:spacing w:line="400" w:lineRule="exact"/>
        <w:ind w:left="126" w:leftChars="60" w:firstLine="472" w:firstLineChars="200"/>
        <w:rPr>
          <w:rFonts w:hint="eastAsia" w:ascii="仿宋_GB2312" w:eastAsia="仿宋_GB2312"/>
          <w:spacing w:val="-2"/>
        </w:rPr>
      </w:pPr>
      <w:r>
        <w:rPr>
          <w:rFonts w:hint="eastAsia" w:ascii="仿宋_GB2312" w:eastAsia="仿宋_GB2312"/>
          <w:spacing w:val="-2"/>
        </w:rPr>
        <w:t>电话：0570-8015289  0570-8026671</w:t>
      </w:r>
    </w:p>
    <w:p w14:paraId="197C963F">
      <w:pPr>
        <w:pStyle w:val="5"/>
        <w:overflowPunct w:val="0"/>
        <w:spacing w:line="400" w:lineRule="exact"/>
        <w:ind w:left="126" w:leftChars="60" w:firstLine="472" w:firstLineChars="200"/>
        <w:rPr>
          <w:rFonts w:hint="eastAsia" w:ascii="仿宋_GB2312" w:eastAsia="仿宋_GB2312"/>
          <w:spacing w:val="-2"/>
        </w:rPr>
      </w:pPr>
      <w:r>
        <w:rPr>
          <w:rFonts w:hint="eastAsia" w:ascii="仿宋_GB2312" w:eastAsia="仿宋_GB2312"/>
          <w:spacing w:val="-2"/>
          <w:lang w:eastAsia="zh-CN"/>
        </w:rPr>
        <w:t>邮箱</w:t>
      </w:r>
      <w:r>
        <w:rPr>
          <w:rFonts w:hint="eastAsia" w:ascii="仿宋_GB2312" w:eastAsia="仿宋_GB2312"/>
          <w:spacing w:val="-2"/>
        </w:rPr>
        <w:t>：</w:t>
      </w:r>
      <w:r>
        <w:rPr>
          <w:rFonts w:hint="eastAsia" w:ascii="仿宋_GB2312" w:eastAsia="仿宋_GB2312"/>
          <w:spacing w:val="-2"/>
        </w:rPr>
        <w:fldChar w:fldCharType="begin"/>
      </w:r>
      <w:r>
        <w:rPr>
          <w:rFonts w:hint="eastAsia" w:ascii="仿宋_GB2312" w:eastAsia="仿宋_GB2312"/>
          <w:spacing w:val="-2"/>
        </w:rPr>
        <w:instrText xml:space="preserve"> HYPERLINK "mailto:rsc@qzc.edu.cn" </w:instrText>
      </w:r>
      <w:r>
        <w:rPr>
          <w:rFonts w:hint="eastAsia" w:ascii="仿宋_GB2312" w:eastAsia="仿宋_GB2312"/>
          <w:spacing w:val="-2"/>
        </w:rPr>
        <w:fldChar w:fldCharType="separate"/>
      </w:r>
      <w:r>
        <w:rPr>
          <w:rFonts w:hint="eastAsia" w:ascii="仿宋_GB2312" w:eastAsia="仿宋_GB2312"/>
          <w:spacing w:val="-2"/>
        </w:rPr>
        <w:t>rsc@qzc.edu.cn</w:t>
      </w:r>
      <w:r>
        <w:rPr>
          <w:rFonts w:hint="eastAsia" w:ascii="仿宋_GB2312" w:eastAsia="仿宋_GB2312"/>
          <w:spacing w:val="-2"/>
        </w:rPr>
        <w:fldChar w:fldCharType="end"/>
      </w:r>
      <w:r>
        <w:rPr>
          <w:rFonts w:hint="eastAsia" w:ascii="仿宋_GB2312" w:eastAsia="仿宋_GB2312"/>
          <w:spacing w:val="-2"/>
          <w:lang w:eastAsia="zh-CN"/>
        </w:rPr>
        <w:t>、qzxyzp@126.com（</w:t>
      </w:r>
      <w:r>
        <w:rPr>
          <w:rFonts w:hint="eastAsia" w:ascii="仿宋_GB2312" w:eastAsia="仿宋_GB2312"/>
          <w:spacing w:val="-2"/>
        </w:rPr>
        <w:fldChar w:fldCharType="begin"/>
      </w:r>
      <w:r>
        <w:rPr>
          <w:rFonts w:hint="eastAsia" w:ascii="仿宋_GB2312" w:eastAsia="仿宋_GB2312"/>
          <w:spacing w:val="-2"/>
        </w:rPr>
        <w:instrText xml:space="preserve"> HYPERLINK "mailto:rsc@qzc.edu.cn" </w:instrText>
      </w:r>
      <w:r>
        <w:rPr>
          <w:rFonts w:hint="eastAsia" w:ascii="仿宋_GB2312" w:eastAsia="仿宋_GB2312"/>
          <w:spacing w:val="-2"/>
        </w:rPr>
        <w:fldChar w:fldCharType="separate"/>
      </w:r>
      <w:r>
        <w:rPr>
          <w:rFonts w:hint="eastAsia" w:ascii="仿宋_GB2312" w:eastAsia="仿宋_GB2312"/>
          <w:spacing w:val="-2"/>
        </w:rPr>
        <w:fldChar w:fldCharType="end"/>
      </w:r>
      <w:r>
        <w:rPr>
          <w:rFonts w:hint="eastAsia" w:ascii="仿宋_GB2312" w:eastAsia="仿宋_GB2312"/>
          <w:spacing w:val="-2"/>
        </w:rPr>
        <w:t>投递简历邮件标题：应聘学院+姓名+学历+专业+博士人才网）</w:t>
      </w:r>
    </w:p>
    <w:p w14:paraId="27E42ABF">
      <w:pPr>
        <w:pStyle w:val="5"/>
        <w:overflowPunct w:val="0"/>
        <w:spacing w:line="400" w:lineRule="exact"/>
        <w:ind w:left="126" w:leftChars="60" w:firstLine="480" w:firstLineChars="200"/>
        <w:rPr>
          <w:rStyle w:val="13"/>
          <w:rFonts w:hint="eastAsia" w:ascii="Times New Roman" w:eastAsia="仿宋_GB2312" w:cs="Times New Roman"/>
          <w:color w:val="auto"/>
          <w:u w:val="none"/>
        </w:rPr>
      </w:pPr>
      <w:r>
        <w:rPr>
          <w:rFonts w:hint="eastAsia" w:ascii="Times New Roman" w:eastAsia="仿宋_GB2312" w:cs="Times New Roman"/>
        </w:rPr>
        <w:t>学校网址：</w:t>
      </w:r>
      <w:r>
        <w:rPr>
          <w:u w:val="none"/>
        </w:rPr>
        <w:fldChar w:fldCharType="begin"/>
      </w:r>
      <w:r>
        <w:rPr>
          <w:u w:val="none"/>
        </w:rPr>
        <w:instrText xml:space="preserve"> HYPERLINK "http://www.qzc.edu.cn" </w:instrText>
      </w:r>
      <w:r>
        <w:rPr>
          <w:u w:val="none"/>
        </w:rPr>
        <w:fldChar w:fldCharType="separate"/>
      </w:r>
      <w:r>
        <w:rPr>
          <w:rStyle w:val="13"/>
          <w:rFonts w:hint="eastAsia" w:ascii="Times New Roman" w:eastAsia="仿宋_GB2312" w:cs="Times New Roman"/>
          <w:color w:val="auto"/>
          <w:u w:val="none"/>
        </w:rPr>
        <w:t>www.qzc.edu.cn</w:t>
      </w:r>
      <w:r>
        <w:rPr>
          <w:rStyle w:val="13"/>
          <w:rFonts w:hint="eastAsia" w:ascii="Times New Roman" w:eastAsia="仿宋_GB2312" w:cs="Times New Roman"/>
          <w:color w:val="auto"/>
          <w:u w:val="none"/>
        </w:rPr>
        <w:fldChar w:fldCharType="end"/>
      </w:r>
    </w:p>
    <w:p w14:paraId="4C0F11BF">
      <w:pPr>
        <w:pStyle w:val="5"/>
        <w:overflowPunct w:val="0"/>
        <w:spacing w:line="400" w:lineRule="exact"/>
        <w:ind w:left="126" w:leftChars="60" w:firstLine="480" w:firstLineChars="200"/>
        <w:rPr>
          <w:rFonts w:ascii="Times New Roman" w:eastAsia="仿宋_GB2312" w:cs="Times New Roman"/>
        </w:rPr>
      </w:pPr>
      <w:r>
        <w:rPr>
          <w:rFonts w:hint="eastAsia" w:ascii="Times New Roman" w:eastAsia="仿宋_GB2312" w:cs="Times New Roman"/>
        </w:rPr>
        <w:t>邮编：324000</w:t>
      </w:r>
    </w:p>
    <w:p w14:paraId="5DDF2A06">
      <w:pPr>
        <w:pStyle w:val="5"/>
        <w:overflowPunct w:val="0"/>
        <w:spacing w:line="400" w:lineRule="exact"/>
        <w:ind w:left="126" w:leftChars="60" w:firstLine="480" w:firstLineChars="200"/>
        <w:rPr>
          <w:rFonts w:ascii="Times New Roman" w:eastAsia="仿宋_GB2312" w:cs="Times New Roman"/>
        </w:rPr>
      </w:pPr>
      <w:r>
        <w:rPr>
          <w:rFonts w:hint="eastAsia" w:ascii="Times New Roman" w:eastAsia="仿宋_GB2312" w:cs="Times New Roman"/>
        </w:rPr>
        <w:t>校址：浙江省衢州市九华北大道78号</w:t>
      </w:r>
    </w:p>
    <w:p w14:paraId="2E92EE6B">
      <w:pPr>
        <w:pStyle w:val="5"/>
        <w:overflowPunct w:val="0"/>
        <w:spacing w:line="400" w:lineRule="exact"/>
        <w:ind w:left="126" w:leftChars="60" w:firstLine="480" w:firstLineChars="200"/>
        <w:rPr>
          <w:rFonts w:ascii="Times New Roman" w:eastAsia="仿宋_GB2312" w:cs="Times New Roman"/>
        </w:rPr>
      </w:pPr>
      <w:bookmarkStart w:id="1" w:name="_GoBack"/>
      <w:bookmarkEnd w:id="1"/>
    </w:p>
    <w:p w14:paraId="529D3038">
      <w:pPr>
        <w:pStyle w:val="5"/>
        <w:overflowPunct w:val="0"/>
        <w:spacing w:line="400" w:lineRule="exact"/>
        <w:ind w:left="126" w:leftChars="60" w:firstLine="480" w:firstLineChars="200"/>
        <w:rPr>
          <w:rFonts w:ascii="Times New Roman" w:eastAsia="仿宋_GB2312" w:cs="Times New Roman"/>
        </w:rPr>
      </w:pPr>
    </w:p>
    <w:p w14:paraId="54802E9B">
      <w:pPr>
        <w:pStyle w:val="5"/>
        <w:overflowPunct w:val="0"/>
        <w:spacing w:line="400" w:lineRule="exact"/>
        <w:ind w:left="126" w:leftChars="60" w:firstLine="480" w:firstLineChars="200"/>
        <w:jc w:val="center"/>
        <w:rPr>
          <w:rFonts w:ascii="Times New Roman" w:eastAsia="仿宋_GB2312" w:cs="Times New Roman"/>
        </w:rPr>
      </w:pPr>
      <w:r>
        <w:rPr>
          <w:rFonts w:hint="eastAsia" w:ascii="Times New Roman" w:eastAsia="仿宋_GB2312" w:cs="Times New Roman"/>
        </w:rPr>
        <w:t xml:space="preserve">                                           </w:t>
      </w:r>
    </w:p>
    <w:sectPr>
      <w:pgSz w:w="11906" w:h="16838"/>
      <w:pgMar w:top="1191" w:right="1230" w:bottom="1191" w:left="123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755D32"/>
    <w:multiLevelType w:val="singleLevel"/>
    <w:tmpl w:val="A8755D3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0YzcyZTlmZDAzNGNkMjVjMDIxMTJlMmJjYjUwODMifQ=="/>
  </w:docVars>
  <w:rsids>
    <w:rsidRoot w:val="0098092E"/>
    <w:rsid w:val="00000A5D"/>
    <w:rsid w:val="0000639D"/>
    <w:rsid w:val="00007BB4"/>
    <w:rsid w:val="00011C94"/>
    <w:rsid w:val="00012832"/>
    <w:rsid w:val="00012A5C"/>
    <w:rsid w:val="00014488"/>
    <w:rsid w:val="00016009"/>
    <w:rsid w:val="0001728B"/>
    <w:rsid w:val="0002016B"/>
    <w:rsid w:val="00020B51"/>
    <w:rsid w:val="00021540"/>
    <w:rsid w:val="0002249A"/>
    <w:rsid w:val="000238A0"/>
    <w:rsid w:val="00024670"/>
    <w:rsid w:val="0002662F"/>
    <w:rsid w:val="000313F9"/>
    <w:rsid w:val="000326C3"/>
    <w:rsid w:val="00035641"/>
    <w:rsid w:val="0004675F"/>
    <w:rsid w:val="000467DA"/>
    <w:rsid w:val="00050608"/>
    <w:rsid w:val="00056D31"/>
    <w:rsid w:val="00057B2A"/>
    <w:rsid w:val="00060BE2"/>
    <w:rsid w:val="0006560C"/>
    <w:rsid w:val="00072750"/>
    <w:rsid w:val="00072B95"/>
    <w:rsid w:val="00072C1E"/>
    <w:rsid w:val="000750F8"/>
    <w:rsid w:val="0007576D"/>
    <w:rsid w:val="00075A68"/>
    <w:rsid w:val="00077280"/>
    <w:rsid w:val="0008688D"/>
    <w:rsid w:val="00092755"/>
    <w:rsid w:val="00094B75"/>
    <w:rsid w:val="000A1DF0"/>
    <w:rsid w:val="000B03B5"/>
    <w:rsid w:val="000B766F"/>
    <w:rsid w:val="000C0DDB"/>
    <w:rsid w:val="000D0FDB"/>
    <w:rsid w:val="000D1335"/>
    <w:rsid w:val="000D2B74"/>
    <w:rsid w:val="000D4980"/>
    <w:rsid w:val="000D6CDE"/>
    <w:rsid w:val="000D6F17"/>
    <w:rsid w:val="000D7C98"/>
    <w:rsid w:val="000E1757"/>
    <w:rsid w:val="000E2EB5"/>
    <w:rsid w:val="000E40BC"/>
    <w:rsid w:val="000E707B"/>
    <w:rsid w:val="000F05BB"/>
    <w:rsid w:val="00100EA2"/>
    <w:rsid w:val="00102B82"/>
    <w:rsid w:val="00105917"/>
    <w:rsid w:val="00106F78"/>
    <w:rsid w:val="00110EB6"/>
    <w:rsid w:val="00123871"/>
    <w:rsid w:val="00125745"/>
    <w:rsid w:val="001301E4"/>
    <w:rsid w:val="00133191"/>
    <w:rsid w:val="001372CE"/>
    <w:rsid w:val="0013746A"/>
    <w:rsid w:val="00137808"/>
    <w:rsid w:val="00140F21"/>
    <w:rsid w:val="001426CE"/>
    <w:rsid w:val="00144C98"/>
    <w:rsid w:val="00145953"/>
    <w:rsid w:val="00155CB9"/>
    <w:rsid w:val="0016218A"/>
    <w:rsid w:val="0016223D"/>
    <w:rsid w:val="001630C8"/>
    <w:rsid w:val="00164374"/>
    <w:rsid w:val="0016522A"/>
    <w:rsid w:val="00165F7D"/>
    <w:rsid w:val="0017013C"/>
    <w:rsid w:val="0017232A"/>
    <w:rsid w:val="00173F3F"/>
    <w:rsid w:val="00175E08"/>
    <w:rsid w:val="00176D04"/>
    <w:rsid w:val="001834E0"/>
    <w:rsid w:val="0018360F"/>
    <w:rsid w:val="00190182"/>
    <w:rsid w:val="0019025B"/>
    <w:rsid w:val="00190D36"/>
    <w:rsid w:val="00197360"/>
    <w:rsid w:val="00197813"/>
    <w:rsid w:val="001A1842"/>
    <w:rsid w:val="001A2C2D"/>
    <w:rsid w:val="001A507D"/>
    <w:rsid w:val="001A58EB"/>
    <w:rsid w:val="001B0928"/>
    <w:rsid w:val="001B150F"/>
    <w:rsid w:val="001C01E1"/>
    <w:rsid w:val="001C33D2"/>
    <w:rsid w:val="001C40FB"/>
    <w:rsid w:val="001C4775"/>
    <w:rsid w:val="001C4E94"/>
    <w:rsid w:val="001C65B0"/>
    <w:rsid w:val="001C6F72"/>
    <w:rsid w:val="001C7CBE"/>
    <w:rsid w:val="001D1E25"/>
    <w:rsid w:val="001D2B9F"/>
    <w:rsid w:val="001D3FF4"/>
    <w:rsid w:val="001D4A2B"/>
    <w:rsid w:val="001D4A6A"/>
    <w:rsid w:val="001D7EAA"/>
    <w:rsid w:val="001E06A4"/>
    <w:rsid w:val="001E6EC8"/>
    <w:rsid w:val="001E75A0"/>
    <w:rsid w:val="001F16FC"/>
    <w:rsid w:val="001F5170"/>
    <w:rsid w:val="001F5F16"/>
    <w:rsid w:val="00205078"/>
    <w:rsid w:val="002055C2"/>
    <w:rsid w:val="00210723"/>
    <w:rsid w:val="00211C2A"/>
    <w:rsid w:val="00212559"/>
    <w:rsid w:val="00213DEB"/>
    <w:rsid w:val="002244DF"/>
    <w:rsid w:val="00225C03"/>
    <w:rsid w:val="00226E72"/>
    <w:rsid w:val="00227C61"/>
    <w:rsid w:val="00232548"/>
    <w:rsid w:val="00236ACA"/>
    <w:rsid w:val="0024025D"/>
    <w:rsid w:val="00240606"/>
    <w:rsid w:val="00241EDE"/>
    <w:rsid w:val="00243C57"/>
    <w:rsid w:val="00246542"/>
    <w:rsid w:val="0025176F"/>
    <w:rsid w:val="0026032E"/>
    <w:rsid w:val="00267AAB"/>
    <w:rsid w:val="00271C15"/>
    <w:rsid w:val="0027313C"/>
    <w:rsid w:val="002754B9"/>
    <w:rsid w:val="0028079B"/>
    <w:rsid w:val="00281EFB"/>
    <w:rsid w:val="00283018"/>
    <w:rsid w:val="00290ACC"/>
    <w:rsid w:val="002948DD"/>
    <w:rsid w:val="002953B5"/>
    <w:rsid w:val="00295446"/>
    <w:rsid w:val="002A3E4B"/>
    <w:rsid w:val="002A529B"/>
    <w:rsid w:val="002B0744"/>
    <w:rsid w:val="002B284C"/>
    <w:rsid w:val="002C3C1A"/>
    <w:rsid w:val="002D109D"/>
    <w:rsid w:val="002D228B"/>
    <w:rsid w:val="002D4D4C"/>
    <w:rsid w:val="002D5671"/>
    <w:rsid w:val="002E5CEA"/>
    <w:rsid w:val="002F12DA"/>
    <w:rsid w:val="002F174B"/>
    <w:rsid w:val="002F17D9"/>
    <w:rsid w:val="002F289C"/>
    <w:rsid w:val="002F47CE"/>
    <w:rsid w:val="002F4EE6"/>
    <w:rsid w:val="0032481C"/>
    <w:rsid w:val="00340CBB"/>
    <w:rsid w:val="0034203C"/>
    <w:rsid w:val="0034407D"/>
    <w:rsid w:val="00350D18"/>
    <w:rsid w:val="00351DDC"/>
    <w:rsid w:val="00353888"/>
    <w:rsid w:val="00353C47"/>
    <w:rsid w:val="0036138E"/>
    <w:rsid w:val="00361544"/>
    <w:rsid w:val="00363373"/>
    <w:rsid w:val="00365D59"/>
    <w:rsid w:val="003762D1"/>
    <w:rsid w:val="00377232"/>
    <w:rsid w:val="003805DC"/>
    <w:rsid w:val="00387880"/>
    <w:rsid w:val="003A5E00"/>
    <w:rsid w:val="003A6A9A"/>
    <w:rsid w:val="003A7CB8"/>
    <w:rsid w:val="003B4658"/>
    <w:rsid w:val="003B5CE3"/>
    <w:rsid w:val="003C04B0"/>
    <w:rsid w:val="003C25AC"/>
    <w:rsid w:val="003C3036"/>
    <w:rsid w:val="003C51B0"/>
    <w:rsid w:val="003E0A2C"/>
    <w:rsid w:val="003E5067"/>
    <w:rsid w:val="003E5DA3"/>
    <w:rsid w:val="003F120F"/>
    <w:rsid w:val="003F18DF"/>
    <w:rsid w:val="003F341F"/>
    <w:rsid w:val="00407385"/>
    <w:rsid w:val="0041218E"/>
    <w:rsid w:val="004121C7"/>
    <w:rsid w:val="00414D0C"/>
    <w:rsid w:val="00420DF3"/>
    <w:rsid w:val="00424603"/>
    <w:rsid w:val="00427A6B"/>
    <w:rsid w:val="00431308"/>
    <w:rsid w:val="004315A1"/>
    <w:rsid w:val="004326A1"/>
    <w:rsid w:val="00432876"/>
    <w:rsid w:val="004453BB"/>
    <w:rsid w:val="00447F8F"/>
    <w:rsid w:val="00452F8B"/>
    <w:rsid w:val="00453DCA"/>
    <w:rsid w:val="00454659"/>
    <w:rsid w:val="0045794F"/>
    <w:rsid w:val="00472F80"/>
    <w:rsid w:val="0047393E"/>
    <w:rsid w:val="00473CE0"/>
    <w:rsid w:val="00475E35"/>
    <w:rsid w:val="0047657B"/>
    <w:rsid w:val="00481EA0"/>
    <w:rsid w:val="00482B08"/>
    <w:rsid w:val="004834A8"/>
    <w:rsid w:val="00483AD8"/>
    <w:rsid w:val="00485A73"/>
    <w:rsid w:val="00486096"/>
    <w:rsid w:val="00490A8D"/>
    <w:rsid w:val="00492EB6"/>
    <w:rsid w:val="0049671C"/>
    <w:rsid w:val="00497E9D"/>
    <w:rsid w:val="004A7E1B"/>
    <w:rsid w:val="004B14EE"/>
    <w:rsid w:val="004B1731"/>
    <w:rsid w:val="004B5CB0"/>
    <w:rsid w:val="004B78A1"/>
    <w:rsid w:val="004C7970"/>
    <w:rsid w:val="004D0CAF"/>
    <w:rsid w:val="004D2823"/>
    <w:rsid w:val="004D4D2B"/>
    <w:rsid w:val="004D7EB0"/>
    <w:rsid w:val="004E36DD"/>
    <w:rsid w:val="004E3843"/>
    <w:rsid w:val="004E3ABB"/>
    <w:rsid w:val="004E646F"/>
    <w:rsid w:val="004E7891"/>
    <w:rsid w:val="004F51E7"/>
    <w:rsid w:val="0050707E"/>
    <w:rsid w:val="005079D7"/>
    <w:rsid w:val="00513524"/>
    <w:rsid w:val="00515F84"/>
    <w:rsid w:val="005223D6"/>
    <w:rsid w:val="00522687"/>
    <w:rsid w:val="0052573B"/>
    <w:rsid w:val="00526B6D"/>
    <w:rsid w:val="0052701D"/>
    <w:rsid w:val="00535777"/>
    <w:rsid w:val="0054152B"/>
    <w:rsid w:val="0054173F"/>
    <w:rsid w:val="005440A5"/>
    <w:rsid w:val="00547D9C"/>
    <w:rsid w:val="00550205"/>
    <w:rsid w:val="00556948"/>
    <w:rsid w:val="00556C30"/>
    <w:rsid w:val="00557352"/>
    <w:rsid w:val="005602C6"/>
    <w:rsid w:val="00560DF2"/>
    <w:rsid w:val="00562282"/>
    <w:rsid w:val="00564995"/>
    <w:rsid w:val="005663C8"/>
    <w:rsid w:val="005674F6"/>
    <w:rsid w:val="00574E40"/>
    <w:rsid w:val="005804B7"/>
    <w:rsid w:val="005806A7"/>
    <w:rsid w:val="005814C9"/>
    <w:rsid w:val="00582D99"/>
    <w:rsid w:val="005859B7"/>
    <w:rsid w:val="00587C6E"/>
    <w:rsid w:val="00592120"/>
    <w:rsid w:val="00592D37"/>
    <w:rsid w:val="00594278"/>
    <w:rsid w:val="005942F8"/>
    <w:rsid w:val="00597B2C"/>
    <w:rsid w:val="005A0754"/>
    <w:rsid w:val="005A17CF"/>
    <w:rsid w:val="005A3BC1"/>
    <w:rsid w:val="005B2A99"/>
    <w:rsid w:val="005C478F"/>
    <w:rsid w:val="005C665F"/>
    <w:rsid w:val="005D2670"/>
    <w:rsid w:val="005D3A6C"/>
    <w:rsid w:val="005E1BB2"/>
    <w:rsid w:val="005E7E19"/>
    <w:rsid w:val="005F07A3"/>
    <w:rsid w:val="005F0EBA"/>
    <w:rsid w:val="005F1545"/>
    <w:rsid w:val="005F1CD8"/>
    <w:rsid w:val="005F2111"/>
    <w:rsid w:val="005F2CA8"/>
    <w:rsid w:val="005F674B"/>
    <w:rsid w:val="00601C68"/>
    <w:rsid w:val="00601C7C"/>
    <w:rsid w:val="00602097"/>
    <w:rsid w:val="00602826"/>
    <w:rsid w:val="006039D5"/>
    <w:rsid w:val="00603ABD"/>
    <w:rsid w:val="00613327"/>
    <w:rsid w:val="00613340"/>
    <w:rsid w:val="00614C68"/>
    <w:rsid w:val="006155C1"/>
    <w:rsid w:val="00616EA8"/>
    <w:rsid w:val="0061790F"/>
    <w:rsid w:val="00617E1B"/>
    <w:rsid w:val="006207B7"/>
    <w:rsid w:val="006276CB"/>
    <w:rsid w:val="00627857"/>
    <w:rsid w:val="00632B53"/>
    <w:rsid w:val="00634B9F"/>
    <w:rsid w:val="00637F34"/>
    <w:rsid w:val="006411E2"/>
    <w:rsid w:val="00644B1D"/>
    <w:rsid w:val="00660932"/>
    <w:rsid w:val="0066361E"/>
    <w:rsid w:val="00665CAB"/>
    <w:rsid w:val="00665D90"/>
    <w:rsid w:val="00666FBD"/>
    <w:rsid w:val="0066733B"/>
    <w:rsid w:val="006734E7"/>
    <w:rsid w:val="006760DE"/>
    <w:rsid w:val="006860B9"/>
    <w:rsid w:val="00692B5B"/>
    <w:rsid w:val="0069364B"/>
    <w:rsid w:val="00694BBF"/>
    <w:rsid w:val="006966DA"/>
    <w:rsid w:val="006A015C"/>
    <w:rsid w:val="006A04F9"/>
    <w:rsid w:val="006A120C"/>
    <w:rsid w:val="006A5687"/>
    <w:rsid w:val="006B18A1"/>
    <w:rsid w:val="006B1A67"/>
    <w:rsid w:val="006B2809"/>
    <w:rsid w:val="006B38F0"/>
    <w:rsid w:val="006B442B"/>
    <w:rsid w:val="006B5B0F"/>
    <w:rsid w:val="006B66C4"/>
    <w:rsid w:val="006C002A"/>
    <w:rsid w:val="006C30CC"/>
    <w:rsid w:val="006C4BCF"/>
    <w:rsid w:val="006C5C4D"/>
    <w:rsid w:val="006D0E87"/>
    <w:rsid w:val="006D22BF"/>
    <w:rsid w:val="006D4A4E"/>
    <w:rsid w:val="006D51C3"/>
    <w:rsid w:val="006D6A54"/>
    <w:rsid w:val="006D7DD5"/>
    <w:rsid w:val="006E08F5"/>
    <w:rsid w:val="006F4D27"/>
    <w:rsid w:val="007012D6"/>
    <w:rsid w:val="0070392D"/>
    <w:rsid w:val="007049F7"/>
    <w:rsid w:val="00705835"/>
    <w:rsid w:val="00721A1E"/>
    <w:rsid w:val="00722E08"/>
    <w:rsid w:val="00723F1F"/>
    <w:rsid w:val="0072582F"/>
    <w:rsid w:val="007331EB"/>
    <w:rsid w:val="0073499D"/>
    <w:rsid w:val="00737A52"/>
    <w:rsid w:val="007469C8"/>
    <w:rsid w:val="00746A25"/>
    <w:rsid w:val="007516DE"/>
    <w:rsid w:val="007523AE"/>
    <w:rsid w:val="00760A06"/>
    <w:rsid w:val="00761CE5"/>
    <w:rsid w:val="007623A5"/>
    <w:rsid w:val="00762D24"/>
    <w:rsid w:val="00766A16"/>
    <w:rsid w:val="007671EB"/>
    <w:rsid w:val="00774F51"/>
    <w:rsid w:val="00776786"/>
    <w:rsid w:val="00784AB7"/>
    <w:rsid w:val="0078670E"/>
    <w:rsid w:val="00786777"/>
    <w:rsid w:val="00787618"/>
    <w:rsid w:val="00793035"/>
    <w:rsid w:val="007A24FA"/>
    <w:rsid w:val="007A3587"/>
    <w:rsid w:val="007A3F0E"/>
    <w:rsid w:val="007A57F4"/>
    <w:rsid w:val="007A6F63"/>
    <w:rsid w:val="007A7F22"/>
    <w:rsid w:val="007B03C6"/>
    <w:rsid w:val="007B1021"/>
    <w:rsid w:val="007B4355"/>
    <w:rsid w:val="007B450B"/>
    <w:rsid w:val="007B77AD"/>
    <w:rsid w:val="007C0258"/>
    <w:rsid w:val="007C16C3"/>
    <w:rsid w:val="007C27EF"/>
    <w:rsid w:val="007C488F"/>
    <w:rsid w:val="007D0AF7"/>
    <w:rsid w:val="007D5441"/>
    <w:rsid w:val="007D5E95"/>
    <w:rsid w:val="007D7B38"/>
    <w:rsid w:val="007E2DE1"/>
    <w:rsid w:val="007E463A"/>
    <w:rsid w:val="007E4E1D"/>
    <w:rsid w:val="007E6C02"/>
    <w:rsid w:val="007E7D3C"/>
    <w:rsid w:val="007F0DB9"/>
    <w:rsid w:val="007F6C74"/>
    <w:rsid w:val="00800439"/>
    <w:rsid w:val="00800D8D"/>
    <w:rsid w:val="008036C4"/>
    <w:rsid w:val="008040E7"/>
    <w:rsid w:val="00813BA5"/>
    <w:rsid w:val="008140D4"/>
    <w:rsid w:val="00814827"/>
    <w:rsid w:val="00816D5D"/>
    <w:rsid w:val="00817055"/>
    <w:rsid w:val="008205A2"/>
    <w:rsid w:val="00820BBF"/>
    <w:rsid w:val="008227B1"/>
    <w:rsid w:val="008228B0"/>
    <w:rsid w:val="00826676"/>
    <w:rsid w:val="0082692E"/>
    <w:rsid w:val="008337E8"/>
    <w:rsid w:val="008356B7"/>
    <w:rsid w:val="00835728"/>
    <w:rsid w:val="00835850"/>
    <w:rsid w:val="00842F8A"/>
    <w:rsid w:val="00855704"/>
    <w:rsid w:val="0085749C"/>
    <w:rsid w:val="00862FD6"/>
    <w:rsid w:val="00871644"/>
    <w:rsid w:val="00872342"/>
    <w:rsid w:val="0087285E"/>
    <w:rsid w:val="00873765"/>
    <w:rsid w:val="00876E74"/>
    <w:rsid w:val="00881670"/>
    <w:rsid w:val="00881760"/>
    <w:rsid w:val="00882851"/>
    <w:rsid w:val="008834AA"/>
    <w:rsid w:val="008878CF"/>
    <w:rsid w:val="0089013E"/>
    <w:rsid w:val="008960C3"/>
    <w:rsid w:val="008964E4"/>
    <w:rsid w:val="00897AE5"/>
    <w:rsid w:val="008A40CD"/>
    <w:rsid w:val="008B1BC2"/>
    <w:rsid w:val="008B6621"/>
    <w:rsid w:val="008B6C54"/>
    <w:rsid w:val="008B7147"/>
    <w:rsid w:val="008C6BD2"/>
    <w:rsid w:val="008C6C28"/>
    <w:rsid w:val="008D4202"/>
    <w:rsid w:val="008D5620"/>
    <w:rsid w:val="008D5B27"/>
    <w:rsid w:val="008D5DC8"/>
    <w:rsid w:val="008D7F94"/>
    <w:rsid w:val="008E4D24"/>
    <w:rsid w:val="008E7871"/>
    <w:rsid w:val="008F6F8D"/>
    <w:rsid w:val="008F79D6"/>
    <w:rsid w:val="00900F59"/>
    <w:rsid w:val="0090596D"/>
    <w:rsid w:val="0091224A"/>
    <w:rsid w:val="00912F51"/>
    <w:rsid w:val="00920E9D"/>
    <w:rsid w:val="00933C49"/>
    <w:rsid w:val="009377B3"/>
    <w:rsid w:val="009417F0"/>
    <w:rsid w:val="00943046"/>
    <w:rsid w:val="00944EA5"/>
    <w:rsid w:val="009507E1"/>
    <w:rsid w:val="0095404B"/>
    <w:rsid w:val="00954E31"/>
    <w:rsid w:val="00957C2F"/>
    <w:rsid w:val="00970DEF"/>
    <w:rsid w:val="00973505"/>
    <w:rsid w:val="0097424E"/>
    <w:rsid w:val="00974641"/>
    <w:rsid w:val="009762A5"/>
    <w:rsid w:val="0098092E"/>
    <w:rsid w:val="009864FA"/>
    <w:rsid w:val="009873FC"/>
    <w:rsid w:val="0099324B"/>
    <w:rsid w:val="009935CA"/>
    <w:rsid w:val="00993807"/>
    <w:rsid w:val="00993863"/>
    <w:rsid w:val="009974A0"/>
    <w:rsid w:val="009A18D7"/>
    <w:rsid w:val="009A3356"/>
    <w:rsid w:val="009A4268"/>
    <w:rsid w:val="009B0201"/>
    <w:rsid w:val="009B31FE"/>
    <w:rsid w:val="009B53FF"/>
    <w:rsid w:val="009B6BF0"/>
    <w:rsid w:val="009B7F7D"/>
    <w:rsid w:val="009C154E"/>
    <w:rsid w:val="009C2EBA"/>
    <w:rsid w:val="009C43DB"/>
    <w:rsid w:val="009C7394"/>
    <w:rsid w:val="009D0DF7"/>
    <w:rsid w:val="009D1069"/>
    <w:rsid w:val="009D263B"/>
    <w:rsid w:val="009D29F3"/>
    <w:rsid w:val="009D4175"/>
    <w:rsid w:val="009D4C0C"/>
    <w:rsid w:val="009D4C0E"/>
    <w:rsid w:val="009D5618"/>
    <w:rsid w:val="009D5CAD"/>
    <w:rsid w:val="009D74D8"/>
    <w:rsid w:val="009E0772"/>
    <w:rsid w:val="009E0EEA"/>
    <w:rsid w:val="009E26F4"/>
    <w:rsid w:val="009E3F80"/>
    <w:rsid w:val="009E7C31"/>
    <w:rsid w:val="009F1E88"/>
    <w:rsid w:val="009F3EBE"/>
    <w:rsid w:val="009F4076"/>
    <w:rsid w:val="009F7E31"/>
    <w:rsid w:val="009F7E42"/>
    <w:rsid w:val="00A002AF"/>
    <w:rsid w:val="00A01EEB"/>
    <w:rsid w:val="00A05A83"/>
    <w:rsid w:val="00A069C2"/>
    <w:rsid w:val="00A11C51"/>
    <w:rsid w:val="00A14852"/>
    <w:rsid w:val="00A16C3C"/>
    <w:rsid w:val="00A173B8"/>
    <w:rsid w:val="00A236AF"/>
    <w:rsid w:val="00A24061"/>
    <w:rsid w:val="00A25F86"/>
    <w:rsid w:val="00A30EC8"/>
    <w:rsid w:val="00A329A1"/>
    <w:rsid w:val="00A3443C"/>
    <w:rsid w:val="00A34E68"/>
    <w:rsid w:val="00A36F7B"/>
    <w:rsid w:val="00A37831"/>
    <w:rsid w:val="00A40A7B"/>
    <w:rsid w:val="00A430A5"/>
    <w:rsid w:val="00A4510E"/>
    <w:rsid w:val="00A5248F"/>
    <w:rsid w:val="00A527D5"/>
    <w:rsid w:val="00A53846"/>
    <w:rsid w:val="00A564C4"/>
    <w:rsid w:val="00A60D80"/>
    <w:rsid w:val="00A637C5"/>
    <w:rsid w:val="00A63946"/>
    <w:rsid w:val="00A64B93"/>
    <w:rsid w:val="00A64E17"/>
    <w:rsid w:val="00A703FC"/>
    <w:rsid w:val="00A74A6D"/>
    <w:rsid w:val="00A7771E"/>
    <w:rsid w:val="00A77EF7"/>
    <w:rsid w:val="00A805C7"/>
    <w:rsid w:val="00A876CA"/>
    <w:rsid w:val="00A920A0"/>
    <w:rsid w:val="00A93DFC"/>
    <w:rsid w:val="00A96190"/>
    <w:rsid w:val="00A966CE"/>
    <w:rsid w:val="00A96A05"/>
    <w:rsid w:val="00AA0F2D"/>
    <w:rsid w:val="00AA1556"/>
    <w:rsid w:val="00AA2299"/>
    <w:rsid w:val="00AA231C"/>
    <w:rsid w:val="00AB4628"/>
    <w:rsid w:val="00AB4FAA"/>
    <w:rsid w:val="00AC09AE"/>
    <w:rsid w:val="00AC0E6B"/>
    <w:rsid w:val="00AC2076"/>
    <w:rsid w:val="00AC7B0B"/>
    <w:rsid w:val="00AD758E"/>
    <w:rsid w:val="00AD7E2A"/>
    <w:rsid w:val="00AE58C9"/>
    <w:rsid w:val="00AF01C6"/>
    <w:rsid w:val="00AF1204"/>
    <w:rsid w:val="00AF7D56"/>
    <w:rsid w:val="00B01212"/>
    <w:rsid w:val="00B018CE"/>
    <w:rsid w:val="00B0234F"/>
    <w:rsid w:val="00B03204"/>
    <w:rsid w:val="00B079E0"/>
    <w:rsid w:val="00B12AB3"/>
    <w:rsid w:val="00B130BC"/>
    <w:rsid w:val="00B1347B"/>
    <w:rsid w:val="00B15B9F"/>
    <w:rsid w:val="00B1631B"/>
    <w:rsid w:val="00B221ED"/>
    <w:rsid w:val="00B23431"/>
    <w:rsid w:val="00B26149"/>
    <w:rsid w:val="00B31C60"/>
    <w:rsid w:val="00B42334"/>
    <w:rsid w:val="00B44582"/>
    <w:rsid w:val="00B44F8F"/>
    <w:rsid w:val="00B45538"/>
    <w:rsid w:val="00B45D44"/>
    <w:rsid w:val="00B46CD6"/>
    <w:rsid w:val="00B5051B"/>
    <w:rsid w:val="00B52975"/>
    <w:rsid w:val="00B54DF9"/>
    <w:rsid w:val="00B56759"/>
    <w:rsid w:val="00B61DFA"/>
    <w:rsid w:val="00B6223D"/>
    <w:rsid w:val="00B632EF"/>
    <w:rsid w:val="00B778CF"/>
    <w:rsid w:val="00B81BC2"/>
    <w:rsid w:val="00B81C8F"/>
    <w:rsid w:val="00B8309C"/>
    <w:rsid w:val="00B849E5"/>
    <w:rsid w:val="00B84F4B"/>
    <w:rsid w:val="00B8650C"/>
    <w:rsid w:val="00B87A61"/>
    <w:rsid w:val="00B91871"/>
    <w:rsid w:val="00B92846"/>
    <w:rsid w:val="00B9506F"/>
    <w:rsid w:val="00B950FB"/>
    <w:rsid w:val="00BA49DA"/>
    <w:rsid w:val="00BA4E47"/>
    <w:rsid w:val="00BA5BA3"/>
    <w:rsid w:val="00BB3D6B"/>
    <w:rsid w:val="00BB3F9C"/>
    <w:rsid w:val="00BB501D"/>
    <w:rsid w:val="00BB6EA4"/>
    <w:rsid w:val="00BC0181"/>
    <w:rsid w:val="00BC0A82"/>
    <w:rsid w:val="00BC423F"/>
    <w:rsid w:val="00BC56BF"/>
    <w:rsid w:val="00BD1382"/>
    <w:rsid w:val="00BD1388"/>
    <w:rsid w:val="00BD445E"/>
    <w:rsid w:val="00BD4D41"/>
    <w:rsid w:val="00BE1908"/>
    <w:rsid w:val="00BE1B62"/>
    <w:rsid w:val="00BE2E9F"/>
    <w:rsid w:val="00BE38EA"/>
    <w:rsid w:val="00BE4A3A"/>
    <w:rsid w:val="00BE625E"/>
    <w:rsid w:val="00BF177D"/>
    <w:rsid w:val="00BF3CF2"/>
    <w:rsid w:val="00BF71EA"/>
    <w:rsid w:val="00C02F65"/>
    <w:rsid w:val="00C04EF3"/>
    <w:rsid w:val="00C058D6"/>
    <w:rsid w:val="00C07EA7"/>
    <w:rsid w:val="00C108B6"/>
    <w:rsid w:val="00C10FAC"/>
    <w:rsid w:val="00C1130C"/>
    <w:rsid w:val="00C13780"/>
    <w:rsid w:val="00C15EB9"/>
    <w:rsid w:val="00C23716"/>
    <w:rsid w:val="00C2596F"/>
    <w:rsid w:val="00C259E2"/>
    <w:rsid w:val="00C31319"/>
    <w:rsid w:val="00C32FAF"/>
    <w:rsid w:val="00C344FA"/>
    <w:rsid w:val="00C41303"/>
    <w:rsid w:val="00C41D3A"/>
    <w:rsid w:val="00C41D9C"/>
    <w:rsid w:val="00C434B9"/>
    <w:rsid w:val="00C44CBF"/>
    <w:rsid w:val="00C46DFD"/>
    <w:rsid w:val="00C50452"/>
    <w:rsid w:val="00C517E5"/>
    <w:rsid w:val="00C535EC"/>
    <w:rsid w:val="00C54314"/>
    <w:rsid w:val="00C62443"/>
    <w:rsid w:val="00C641F5"/>
    <w:rsid w:val="00C70261"/>
    <w:rsid w:val="00C73F62"/>
    <w:rsid w:val="00C73FC4"/>
    <w:rsid w:val="00C82D4F"/>
    <w:rsid w:val="00C8652C"/>
    <w:rsid w:val="00C87C48"/>
    <w:rsid w:val="00C90D08"/>
    <w:rsid w:val="00C97BA8"/>
    <w:rsid w:val="00CB21F9"/>
    <w:rsid w:val="00CB4EF6"/>
    <w:rsid w:val="00CC077E"/>
    <w:rsid w:val="00CC1B2F"/>
    <w:rsid w:val="00CC2536"/>
    <w:rsid w:val="00CD048A"/>
    <w:rsid w:val="00CD1E60"/>
    <w:rsid w:val="00CD318B"/>
    <w:rsid w:val="00CD62F6"/>
    <w:rsid w:val="00CD7265"/>
    <w:rsid w:val="00CE2511"/>
    <w:rsid w:val="00CE5451"/>
    <w:rsid w:val="00CE75C8"/>
    <w:rsid w:val="00CF0081"/>
    <w:rsid w:val="00CF2DA7"/>
    <w:rsid w:val="00CF2E7B"/>
    <w:rsid w:val="00CF609F"/>
    <w:rsid w:val="00CF650A"/>
    <w:rsid w:val="00D03D09"/>
    <w:rsid w:val="00D05AD5"/>
    <w:rsid w:val="00D122B9"/>
    <w:rsid w:val="00D13096"/>
    <w:rsid w:val="00D2042E"/>
    <w:rsid w:val="00D211BD"/>
    <w:rsid w:val="00D2439E"/>
    <w:rsid w:val="00D26DC9"/>
    <w:rsid w:val="00D32B07"/>
    <w:rsid w:val="00D40835"/>
    <w:rsid w:val="00D520C0"/>
    <w:rsid w:val="00D57B07"/>
    <w:rsid w:val="00D62914"/>
    <w:rsid w:val="00D62B95"/>
    <w:rsid w:val="00D670B2"/>
    <w:rsid w:val="00D70AA3"/>
    <w:rsid w:val="00D71EAA"/>
    <w:rsid w:val="00D725C7"/>
    <w:rsid w:val="00D74486"/>
    <w:rsid w:val="00D77091"/>
    <w:rsid w:val="00D91E32"/>
    <w:rsid w:val="00D91FF6"/>
    <w:rsid w:val="00D9281C"/>
    <w:rsid w:val="00D93A38"/>
    <w:rsid w:val="00D95CF5"/>
    <w:rsid w:val="00D969F7"/>
    <w:rsid w:val="00D97038"/>
    <w:rsid w:val="00D972EA"/>
    <w:rsid w:val="00DA04BE"/>
    <w:rsid w:val="00DA4FB8"/>
    <w:rsid w:val="00DA52D3"/>
    <w:rsid w:val="00DA5ECF"/>
    <w:rsid w:val="00DB1C27"/>
    <w:rsid w:val="00DB5440"/>
    <w:rsid w:val="00DB5EAA"/>
    <w:rsid w:val="00DB683B"/>
    <w:rsid w:val="00DB7709"/>
    <w:rsid w:val="00DC0B4E"/>
    <w:rsid w:val="00DC4F45"/>
    <w:rsid w:val="00DC51FF"/>
    <w:rsid w:val="00DD0368"/>
    <w:rsid w:val="00DD3912"/>
    <w:rsid w:val="00DD4A12"/>
    <w:rsid w:val="00DE1552"/>
    <w:rsid w:val="00DE5B84"/>
    <w:rsid w:val="00DE61D9"/>
    <w:rsid w:val="00DE6F93"/>
    <w:rsid w:val="00DE7286"/>
    <w:rsid w:val="00DF045B"/>
    <w:rsid w:val="00DF15A0"/>
    <w:rsid w:val="00DF52C4"/>
    <w:rsid w:val="00E01CBF"/>
    <w:rsid w:val="00E025C6"/>
    <w:rsid w:val="00E052B9"/>
    <w:rsid w:val="00E06BFE"/>
    <w:rsid w:val="00E075D3"/>
    <w:rsid w:val="00E16419"/>
    <w:rsid w:val="00E20258"/>
    <w:rsid w:val="00E25FB1"/>
    <w:rsid w:val="00E2632C"/>
    <w:rsid w:val="00E27063"/>
    <w:rsid w:val="00E51D77"/>
    <w:rsid w:val="00E56705"/>
    <w:rsid w:val="00E60A67"/>
    <w:rsid w:val="00E6636C"/>
    <w:rsid w:val="00E66AA9"/>
    <w:rsid w:val="00E7036A"/>
    <w:rsid w:val="00E708C1"/>
    <w:rsid w:val="00E712A1"/>
    <w:rsid w:val="00E7547F"/>
    <w:rsid w:val="00E76E90"/>
    <w:rsid w:val="00E7722A"/>
    <w:rsid w:val="00E825D8"/>
    <w:rsid w:val="00E84685"/>
    <w:rsid w:val="00E87B7A"/>
    <w:rsid w:val="00E87CF3"/>
    <w:rsid w:val="00E92A50"/>
    <w:rsid w:val="00E947C4"/>
    <w:rsid w:val="00E958D0"/>
    <w:rsid w:val="00E97710"/>
    <w:rsid w:val="00EA22B4"/>
    <w:rsid w:val="00EA5417"/>
    <w:rsid w:val="00EA6727"/>
    <w:rsid w:val="00EA7CE5"/>
    <w:rsid w:val="00EB20EC"/>
    <w:rsid w:val="00EB3037"/>
    <w:rsid w:val="00EB7F2E"/>
    <w:rsid w:val="00EC135F"/>
    <w:rsid w:val="00EC488B"/>
    <w:rsid w:val="00EC5759"/>
    <w:rsid w:val="00ED4D3F"/>
    <w:rsid w:val="00EE2B1B"/>
    <w:rsid w:val="00EE6CA1"/>
    <w:rsid w:val="00EF0739"/>
    <w:rsid w:val="00EF6A92"/>
    <w:rsid w:val="00F04D7D"/>
    <w:rsid w:val="00F1154F"/>
    <w:rsid w:val="00F126DE"/>
    <w:rsid w:val="00F132CC"/>
    <w:rsid w:val="00F15DFD"/>
    <w:rsid w:val="00F15F9A"/>
    <w:rsid w:val="00F25423"/>
    <w:rsid w:val="00F255EF"/>
    <w:rsid w:val="00F25E26"/>
    <w:rsid w:val="00F27DBD"/>
    <w:rsid w:val="00F30660"/>
    <w:rsid w:val="00F3266A"/>
    <w:rsid w:val="00F32DE8"/>
    <w:rsid w:val="00F3395B"/>
    <w:rsid w:val="00F37E15"/>
    <w:rsid w:val="00F41223"/>
    <w:rsid w:val="00F435AB"/>
    <w:rsid w:val="00F43EC7"/>
    <w:rsid w:val="00F50EC4"/>
    <w:rsid w:val="00F60090"/>
    <w:rsid w:val="00F62727"/>
    <w:rsid w:val="00F62F7C"/>
    <w:rsid w:val="00F64057"/>
    <w:rsid w:val="00F644ED"/>
    <w:rsid w:val="00F657FC"/>
    <w:rsid w:val="00F66F44"/>
    <w:rsid w:val="00F71A72"/>
    <w:rsid w:val="00F72082"/>
    <w:rsid w:val="00F7540A"/>
    <w:rsid w:val="00F810FC"/>
    <w:rsid w:val="00F82B41"/>
    <w:rsid w:val="00F84998"/>
    <w:rsid w:val="00F85081"/>
    <w:rsid w:val="00F90141"/>
    <w:rsid w:val="00F91A69"/>
    <w:rsid w:val="00FA1920"/>
    <w:rsid w:val="00FA6E8D"/>
    <w:rsid w:val="00FB7DDE"/>
    <w:rsid w:val="00FC0933"/>
    <w:rsid w:val="00FC0C6D"/>
    <w:rsid w:val="00FC4931"/>
    <w:rsid w:val="00FC52BF"/>
    <w:rsid w:val="00FD0895"/>
    <w:rsid w:val="00FD6191"/>
    <w:rsid w:val="00FD7385"/>
    <w:rsid w:val="00FD7F9B"/>
    <w:rsid w:val="00FE3901"/>
    <w:rsid w:val="00FF059A"/>
    <w:rsid w:val="00FF1111"/>
    <w:rsid w:val="00FF3316"/>
    <w:rsid w:val="00FF50BB"/>
    <w:rsid w:val="06D05D90"/>
    <w:rsid w:val="0D915E70"/>
    <w:rsid w:val="1CE52379"/>
    <w:rsid w:val="1FC02046"/>
    <w:rsid w:val="24BC589F"/>
    <w:rsid w:val="2BB21E57"/>
    <w:rsid w:val="314B399A"/>
    <w:rsid w:val="32A04E8C"/>
    <w:rsid w:val="37B969C5"/>
    <w:rsid w:val="37DD436D"/>
    <w:rsid w:val="38D707FF"/>
    <w:rsid w:val="39B558DD"/>
    <w:rsid w:val="3AFF195F"/>
    <w:rsid w:val="417F49B7"/>
    <w:rsid w:val="41EE7CA8"/>
    <w:rsid w:val="431115A0"/>
    <w:rsid w:val="44C05BE4"/>
    <w:rsid w:val="4ABD1227"/>
    <w:rsid w:val="4AE8395A"/>
    <w:rsid w:val="4F851EB1"/>
    <w:rsid w:val="517960F6"/>
    <w:rsid w:val="53C0183E"/>
    <w:rsid w:val="57E921CD"/>
    <w:rsid w:val="5A4F124D"/>
    <w:rsid w:val="5FFECF0C"/>
    <w:rsid w:val="60C0191F"/>
    <w:rsid w:val="659D7124"/>
    <w:rsid w:val="65F82227"/>
    <w:rsid w:val="70205CAE"/>
    <w:rsid w:val="706F4B9A"/>
    <w:rsid w:val="734D5077"/>
    <w:rsid w:val="745C5609"/>
    <w:rsid w:val="75972153"/>
    <w:rsid w:val="77067B81"/>
    <w:rsid w:val="77C375C2"/>
    <w:rsid w:val="7DB510CF"/>
    <w:rsid w:val="7EFFE66F"/>
    <w:rsid w:val="7FFE7B57"/>
    <w:rsid w:val="E7DBB6ED"/>
    <w:rsid w:val="F67BACAA"/>
    <w:rsid w:val="FDF356FF"/>
    <w:rsid w:val="FFEB8282"/>
    <w:rsid w:val="FFFB89D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1"/>
    <w:pPr>
      <w:autoSpaceDE w:val="0"/>
      <w:autoSpaceDN w:val="0"/>
      <w:adjustRightInd w:val="0"/>
      <w:ind w:left="567"/>
      <w:jc w:val="left"/>
      <w:outlineLvl w:val="0"/>
    </w:pPr>
    <w:rPr>
      <w:rFonts w:ascii="仿宋" w:hAnsi="Times New Roman" w:eastAsia="仿宋" w:cs="仿宋"/>
      <w:b/>
      <w:bCs/>
      <w:kern w:val="0"/>
      <w:sz w:val="24"/>
      <w:szCs w:val="24"/>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qFormat/>
    <w:uiPriority w:val="0"/>
    <w:pPr>
      <w:jc w:val="left"/>
    </w:pPr>
  </w:style>
  <w:style w:type="paragraph" w:styleId="4">
    <w:name w:val="Salutation"/>
    <w:basedOn w:val="1"/>
    <w:next w:val="1"/>
    <w:link w:val="25"/>
    <w:semiHidden/>
    <w:unhideWhenUsed/>
    <w:qFormat/>
    <w:uiPriority w:val="99"/>
  </w:style>
  <w:style w:type="paragraph" w:styleId="5">
    <w:name w:val="Body Text"/>
    <w:basedOn w:val="1"/>
    <w:link w:val="15"/>
    <w:qFormat/>
    <w:uiPriority w:val="1"/>
    <w:pPr>
      <w:autoSpaceDE w:val="0"/>
      <w:autoSpaceDN w:val="0"/>
      <w:adjustRightInd w:val="0"/>
      <w:ind w:left="127"/>
      <w:jc w:val="left"/>
    </w:pPr>
    <w:rPr>
      <w:rFonts w:ascii="仿宋" w:hAnsi="Times New Roman" w:eastAsia="仿宋" w:cs="仿宋"/>
      <w:kern w:val="0"/>
      <w:sz w:val="24"/>
      <w:szCs w:val="24"/>
    </w:rPr>
  </w:style>
  <w:style w:type="paragraph" w:styleId="6">
    <w:name w:val="Balloon Text"/>
    <w:basedOn w:val="1"/>
    <w:link w:val="20"/>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customStyle="1" w:styleId="14">
    <w:name w:val="标题 1 Char"/>
    <w:basedOn w:val="12"/>
    <w:link w:val="2"/>
    <w:qFormat/>
    <w:uiPriority w:val="9"/>
    <w:rPr>
      <w:rFonts w:ascii="仿宋" w:hAnsi="Times New Roman" w:eastAsia="仿宋" w:cs="仿宋"/>
      <w:b/>
      <w:bCs/>
      <w:kern w:val="0"/>
      <w:sz w:val="24"/>
      <w:szCs w:val="24"/>
    </w:rPr>
  </w:style>
  <w:style w:type="character" w:customStyle="1" w:styleId="15">
    <w:name w:val="正文文本 Char"/>
    <w:basedOn w:val="12"/>
    <w:link w:val="5"/>
    <w:qFormat/>
    <w:uiPriority w:val="99"/>
    <w:rPr>
      <w:rFonts w:ascii="仿宋" w:hAnsi="Times New Roman" w:eastAsia="仿宋" w:cs="仿宋"/>
      <w:kern w:val="0"/>
      <w:sz w:val="24"/>
      <w:szCs w:val="24"/>
    </w:rPr>
  </w:style>
  <w:style w:type="paragraph" w:customStyle="1" w:styleId="16">
    <w:name w:val="Table Paragraph"/>
    <w:basedOn w:val="1"/>
    <w:qFormat/>
    <w:uiPriority w:val="1"/>
    <w:pPr>
      <w:autoSpaceDE w:val="0"/>
      <w:autoSpaceDN w:val="0"/>
      <w:adjustRightInd w:val="0"/>
      <w:jc w:val="left"/>
    </w:pPr>
    <w:rPr>
      <w:rFonts w:ascii="Times New Roman" w:hAnsi="Times New Roman" w:cs="Times New Roman"/>
      <w:kern w:val="0"/>
      <w:sz w:val="24"/>
      <w:szCs w:val="24"/>
    </w:rPr>
  </w:style>
  <w:style w:type="character" w:customStyle="1" w:styleId="17">
    <w:name w:val="页眉 Char"/>
    <w:basedOn w:val="12"/>
    <w:link w:val="8"/>
    <w:qFormat/>
    <w:uiPriority w:val="99"/>
    <w:rPr>
      <w:sz w:val="18"/>
      <w:szCs w:val="18"/>
    </w:rPr>
  </w:style>
  <w:style w:type="character" w:customStyle="1" w:styleId="18">
    <w:name w:val="页脚 Char"/>
    <w:basedOn w:val="12"/>
    <w:link w:val="7"/>
    <w:qFormat/>
    <w:uiPriority w:val="99"/>
    <w:rPr>
      <w:sz w:val="18"/>
      <w:szCs w:val="18"/>
    </w:rPr>
  </w:style>
  <w:style w:type="paragraph" w:styleId="19">
    <w:name w:val="List Paragraph"/>
    <w:basedOn w:val="1"/>
    <w:qFormat/>
    <w:uiPriority w:val="34"/>
    <w:pPr>
      <w:ind w:firstLine="420" w:firstLineChars="200"/>
    </w:pPr>
  </w:style>
  <w:style w:type="character" w:customStyle="1" w:styleId="20">
    <w:name w:val="批注框文本 Char"/>
    <w:basedOn w:val="12"/>
    <w:link w:val="6"/>
    <w:semiHidden/>
    <w:qFormat/>
    <w:uiPriority w:val="99"/>
    <w:rPr>
      <w:sz w:val="18"/>
      <w:szCs w:val="18"/>
    </w:rPr>
  </w:style>
  <w:style w:type="character" w:customStyle="1" w:styleId="21">
    <w:name w:val="批注文字 Char"/>
    <w:basedOn w:val="12"/>
    <w:link w:val="3"/>
    <w:qFormat/>
    <w:uiPriority w:val="0"/>
    <w:rPr>
      <w:kern w:val="2"/>
      <w:sz w:val="21"/>
      <w:szCs w:val="22"/>
    </w:rPr>
  </w:style>
  <w:style w:type="character" w:customStyle="1" w:styleId="22">
    <w:name w:val="font31"/>
    <w:basedOn w:val="12"/>
    <w:qFormat/>
    <w:uiPriority w:val="0"/>
    <w:rPr>
      <w:rFonts w:hint="eastAsia" w:ascii="宋体" w:hAnsi="宋体" w:eastAsia="宋体" w:cs="宋体"/>
      <w:color w:val="000000"/>
      <w:sz w:val="20"/>
      <w:szCs w:val="20"/>
      <w:u w:val="none"/>
    </w:rPr>
  </w:style>
  <w:style w:type="character" w:customStyle="1" w:styleId="23">
    <w:name w:val="font01"/>
    <w:basedOn w:val="12"/>
    <w:qFormat/>
    <w:uiPriority w:val="0"/>
    <w:rPr>
      <w:rFonts w:hint="default" w:ascii="Times New Roman" w:hAnsi="Times New Roman" w:cs="Times New Roman"/>
      <w:color w:val="000000"/>
      <w:sz w:val="20"/>
      <w:szCs w:val="20"/>
      <w:u w:val="none"/>
    </w:rPr>
  </w:style>
  <w:style w:type="character" w:customStyle="1" w:styleId="24">
    <w:name w:val="font41"/>
    <w:basedOn w:val="12"/>
    <w:qFormat/>
    <w:uiPriority w:val="0"/>
    <w:rPr>
      <w:rFonts w:ascii="仿宋_GB2312" w:eastAsia="仿宋_GB2312" w:cs="仿宋_GB2312"/>
      <w:color w:val="000000"/>
      <w:sz w:val="20"/>
      <w:szCs w:val="20"/>
      <w:u w:val="none"/>
    </w:rPr>
  </w:style>
  <w:style w:type="character" w:customStyle="1" w:styleId="25">
    <w:name w:val="称呼 Char"/>
    <w:basedOn w:val="12"/>
    <w:link w:val="4"/>
    <w:semiHidden/>
    <w:qFormat/>
    <w:uiPriority w:val="99"/>
    <w:rPr>
      <w:kern w:val="2"/>
      <w:sz w:val="21"/>
      <w:szCs w:val="22"/>
    </w:rPr>
  </w:style>
  <w:style w:type="paragraph" w:customStyle="1" w:styleId="26">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1CF1-BC8E-4FDF-84E6-07A6CDF8C90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7389</Words>
  <Characters>7874</Characters>
  <Lines>61</Lines>
  <Paragraphs>17</Paragraphs>
  <TotalTime>4368</TotalTime>
  <ScaleCrop>false</ScaleCrop>
  <LinksUpToDate>false</LinksUpToDate>
  <CharactersWithSpaces>7956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2020-11-05T13:49:00Z</dcterms:created>
  <dc:creator>丁霞军</dc:creator>
  <cp:lastModifiedBy>随缘</cp:lastModifiedBy>
  <cp:lastPrinted>2024-01-08T05:48:00Z</cp:lastPrinted>
  <dcterms:modified xsi:type="dcterms:W3CDTF">2024-10-14T08:53:00Z</dcterms:modified>
  <cp:revision>362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54EFB0151D6748AE93F68443A2FE3823_13</vt:lpwstr>
  </property>
</Properties>
</file>